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A2FAA" w14:textId="07C36780" w:rsidR="00F20684" w:rsidRDefault="00F20684" w:rsidP="00F20684">
      <w:pPr>
        <w:jc w:val="center"/>
      </w:pPr>
      <w:r>
        <w:rPr>
          <w:noProof/>
        </w:rPr>
        <w:drawing>
          <wp:inline distT="0" distB="0" distL="0" distR="0" wp14:anchorId="6E664BB3" wp14:editId="657306B0">
            <wp:extent cx="4216158" cy="2009775"/>
            <wp:effectExtent l="0" t="0" r="0" b="0"/>
            <wp:docPr id="1" name="Image 1" descr="Une image contenant le logo de la Médiathèque Départementale de l'Or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ne-MDO-RVB.jpg"/>
                    <pic:cNvPicPr/>
                  </pic:nvPicPr>
                  <pic:blipFill>
                    <a:blip r:embed="rId8">
                      <a:extLst>
                        <a:ext uri="{28A0092B-C50C-407E-A947-70E740481C1C}">
                          <a14:useLocalDpi xmlns:a14="http://schemas.microsoft.com/office/drawing/2010/main" val="0"/>
                        </a:ext>
                      </a:extLst>
                    </a:blip>
                    <a:stretch>
                      <a:fillRect/>
                    </a:stretch>
                  </pic:blipFill>
                  <pic:spPr>
                    <a:xfrm>
                      <a:off x="0" y="0"/>
                      <a:ext cx="4223445" cy="2013248"/>
                    </a:xfrm>
                    <a:prstGeom prst="rect">
                      <a:avLst/>
                    </a:prstGeom>
                  </pic:spPr>
                </pic:pic>
              </a:graphicData>
            </a:graphic>
          </wp:inline>
        </w:drawing>
      </w:r>
    </w:p>
    <w:p w14:paraId="15CBED41" w14:textId="77EC4905" w:rsidR="00CE2E50" w:rsidRPr="006B4D88" w:rsidRDefault="00822A19" w:rsidP="00F20684">
      <w:pPr>
        <w:spacing w:before="2520" w:after="100" w:afterAutospacing="1"/>
        <w:jc w:val="center"/>
        <w:rPr>
          <w:spacing w:val="20"/>
          <w:sz w:val="40"/>
        </w:rPr>
      </w:pPr>
      <w:r w:rsidRPr="006B4D88">
        <w:rPr>
          <w:spacing w:val="20"/>
          <w:sz w:val="40"/>
        </w:rPr>
        <w:t>Médiathèque Départementale de l’Orne</w:t>
      </w:r>
    </w:p>
    <w:p w14:paraId="2907A8B4" w14:textId="7904E4DB" w:rsidR="00822A19" w:rsidRPr="006B4D88" w:rsidRDefault="00822A19" w:rsidP="00F20684">
      <w:pPr>
        <w:spacing w:before="2520" w:after="100" w:afterAutospacing="1"/>
        <w:jc w:val="center"/>
        <w:rPr>
          <w:spacing w:val="20"/>
          <w:sz w:val="56"/>
        </w:rPr>
      </w:pPr>
      <w:r w:rsidRPr="006B4D88">
        <w:rPr>
          <w:spacing w:val="20"/>
          <w:sz w:val="56"/>
        </w:rPr>
        <w:t>Schéma pluriannuel d’accessibilité 2025-2027</w:t>
      </w:r>
    </w:p>
    <w:p w14:paraId="23850311" w14:textId="5FA25BB6" w:rsidR="00F20684" w:rsidRDefault="00822A19">
      <w:r>
        <w:br w:type="page"/>
      </w:r>
    </w:p>
    <w:sdt>
      <w:sdtPr>
        <w:rPr>
          <w:rFonts w:asciiTheme="minorHAnsi" w:eastAsiaTheme="minorHAnsi" w:hAnsiTheme="minorHAnsi" w:cstheme="minorBidi"/>
          <w:color w:val="auto"/>
          <w:sz w:val="22"/>
          <w:szCs w:val="22"/>
          <w:lang w:eastAsia="en-US"/>
        </w:rPr>
        <w:id w:val="1973710398"/>
        <w:docPartObj>
          <w:docPartGallery w:val="Table of Contents"/>
          <w:docPartUnique/>
        </w:docPartObj>
      </w:sdtPr>
      <w:sdtEndPr>
        <w:rPr>
          <w:b/>
          <w:bCs/>
        </w:rPr>
      </w:sdtEndPr>
      <w:sdtContent>
        <w:p w14:paraId="22412E9E" w14:textId="384143CA" w:rsidR="004A6C10" w:rsidRPr="004A6C10" w:rsidRDefault="004A6C10" w:rsidP="004A6C10">
          <w:pPr>
            <w:pStyle w:val="En-ttedetabledesmatires"/>
            <w:spacing w:line="360" w:lineRule="auto"/>
            <w:rPr>
              <w:spacing w:val="20"/>
            </w:rPr>
          </w:pPr>
          <w:r w:rsidRPr="004A6C10">
            <w:rPr>
              <w:spacing w:val="20"/>
            </w:rPr>
            <w:t>Table des matières</w:t>
          </w:r>
        </w:p>
        <w:p w14:paraId="372FD8EA" w14:textId="4EF9CEE3" w:rsidR="00C266BD" w:rsidRDefault="004A6C10">
          <w:pPr>
            <w:pStyle w:val="TM1"/>
            <w:tabs>
              <w:tab w:val="right" w:leader="dot" w:pos="9062"/>
            </w:tabs>
            <w:rPr>
              <w:rFonts w:eastAsiaTheme="minorEastAsia"/>
              <w:noProof/>
              <w:lang w:eastAsia="fr-FR"/>
            </w:rPr>
          </w:pPr>
          <w:r w:rsidRPr="004A6C10">
            <w:rPr>
              <w:spacing w:val="20"/>
            </w:rPr>
            <w:fldChar w:fldCharType="begin"/>
          </w:r>
          <w:r w:rsidRPr="004A6C10">
            <w:rPr>
              <w:spacing w:val="20"/>
            </w:rPr>
            <w:instrText xml:space="preserve"> TOC \o "1-3" \h \z \u </w:instrText>
          </w:r>
          <w:r w:rsidRPr="004A6C10">
            <w:rPr>
              <w:spacing w:val="20"/>
            </w:rPr>
            <w:fldChar w:fldCharType="separate"/>
          </w:r>
          <w:hyperlink w:anchor="_Toc195022528" w:history="1">
            <w:r w:rsidR="00C266BD" w:rsidRPr="00941E20">
              <w:rPr>
                <w:rStyle w:val="Lienhypertexte"/>
                <w:noProof/>
              </w:rPr>
              <w:t>Accessibilité numérique</w:t>
            </w:r>
            <w:r w:rsidR="00C266BD">
              <w:rPr>
                <w:noProof/>
                <w:webHidden/>
              </w:rPr>
              <w:tab/>
            </w:r>
            <w:r w:rsidR="00C266BD">
              <w:rPr>
                <w:noProof/>
                <w:webHidden/>
              </w:rPr>
              <w:fldChar w:fldCharType="begin"/>
            </w:r>
            <w:r w:rsidR="00C266BD">
              <w:rPr>
                <w:noProof/>
                <w:webHidden/>
              </w:rPr>
              <w:instrText xml:space="preserve"> PAGEREF _Toc195022528 \h </w:instrText>
            </w:r>
            <w:r w:rsidR="00C266BD">
              <w:rPr>
                <w:noProof/>
                <w:webHidden/>
              </w:rPr>
            </w:r>
            <w:r w:rsidR="00C266BD">
              <w:rPr>
                <w:noProof/>
                <w:webHidden/>
              </w:rPr>
              <w:fldChar w:fldCharType="separate"/>
            </w:r>
            <w:r w:rsidR="00016BE1">
              <w:rPr>
                <w:noProof/>
                <w:webHidden/>
              </w:rPr>
              <w:t>3</w:t>
            </w:r>
            <w:r w:rsidR="00C266BD">
              <w:rPr>
                <w:noProof/>
                <w:webHidden/>
              </w:rPr>
              <w:fldChar w:fldCharType="end"/>
            </w:r>
          </w:hyperlink>
        </w:p>
        <w:p w14:paraId="41A1507D" w14:textId="66FFD1CE" w:rsidR="00C266BD" w:rsidRDefault="00016BE1">
          <w:pPr>
            <w:pStyle w:val="TM2"/>
            <w:tabs>
              <w:tab w:val="right" w:leader="dot" w:pos="9062"/>
            </w:tabs>
            <w:rPr>
              <w:rFonts w:eastAsiaTheme="minorEastAsia"/>
              <w:noProof/>
              <w:lang w:eastAsia="fr-FR"/>
            </w:rPr>
          </w:pPr>
          <w:hyperlink w:anchor="_Toc195022529" w:history="1">
            <w:r w:rsidR="00C266BD" w:rsidRPr="00941E20">
              <w:rPr>
                <w:rStyle w:val="Lienhypertexte"/>
                <w:noProof/>
              </w:rPr>
              <w:t>Définitions</w:t>
            </w:r>
            <w:r w:rsidR="00C266BD">
              <w:rPr>
                <w:noProof/>
                <w:webHidden/>
              </w:rPr>
              <w:tab/>
            </w:r>
            <w:r w:rsidR="00C266BD">
              <w:rPr>
                <w:noProof/>
                <w:webHidden/>
              </w:rPr>
              <w:fldChar w:fldCharType="begin"/>
            </w:r>
            <w:r w:rsidR="00C266BD">
              <w:rPr>
                <w:noProof/>
                <w:webHidden/>
              </w:rPr>
              <w:instrText xml:space="preserve"> PAGEREF _Toc195022529 \h </w:instrText>
            </w:r>
            <w:r w:rsidR="00C266BD">
              <w:rPr>
                <w:noProof/>
                <w:webHidden/>
              </w:rPr>
            </w:r>
            <w:r w:rsidR="00C266BD">
              <w:rPr>
                <w:noProof/>
                <w:webHidden/>
              </w:rPr>
              <w:fldChar w:fldCharType="separate"/>
            </w:r>
            <w:r>
              <w:rPr>
                <w:noProof/>
                <w:webHidden/>
              </w:rPr>
              <w:t>3</w:t>
            </w:r>
            <w:r w:rsidR="00C266BD">
              <w:rPr>
                <w:noProof/>
                <w:webHidden/>
              </w:rPr>
              <w:fldChar w:fldCharType="end"/>
            </w:r>
          </w:hyperlink>
        </w:p>
        <w:p w14:paraId="6499B030" w14:textId="23C860C7" w:rsidR="00C266BD" w:rsidRDefault="00016BE1">
          <w:pPr>
            <w:pStyle w:val="TM2"/>
            <w:tabs>
              <w:tab w:val="right" w:leader="dot" w:pos="9062"/>
            </w:tabs>
            <w:rPr>
              <w:rFonts w:eastAsiaTheme="minorEastAsia"/>
              <w:noProof/>
              <w:lang w:eastAsia="fr-FR"/>
            </w:rPr>
          </w:pPr>
          <w:hyperlink w:anchor="_Toc195022530" w:history="1">
            <w:r w:rsidR="00C266BD" w:rsidRPr="00941E20">
              <w:rPr>
                <w:rStyle w:val="Lienhypertexte"/>
                <w:noProof/>
              </w:rPr>
              <w:t>Cadre législatif</w:t>
            </w:r>
            <w:r w:rsidR="00C266BD">
              <w:rPr>
                <w:noProof/>
                <w:webHidden/>
              </w:rPr>
              <w:tab/>
            </w:r>
            <w:r w:rsidR="00C266BD">
              <w:rPr>
                <w:noProof/>
                <w:webHidden/>
              </w:rPr>
              <w:fldChar w:fldCharType="begin"/>
            </w:r>
            <w:r w:rsidR="00C266BD">
              <w:rPr>
                <w:noProof/>
                <w:webHidden/>
              </w:rPr>
              <w:instrText xml:space="preserve"> PAGEREF _Toc195022530 \h </w:instrText>
            </w:r>
            <w:r w:rsidR="00C266BD">
              <w:rPr>
                <w:noProof/>
                <w:webHidden/>
              </w:rPr>
            </w:r>
            <w:r w:rsidR="00C266BD">
              <w:rPr>
                <w:noProof/>
                <w:webHidden/>
              </w:rPr>
              <w:fldChar w:fldCharType="separate"/>
            </w:r>
            <w:r>
              <w:rPr>
                <w:noProof/>
                <w:webHidden/>
              </w:rPr>
              <w:t>3</w:t>
            </w:r>
            <w:r w:rsidR="00C266BD">
              <w:rPr>
                <w:noProof/>
                <w:webHidden/>
              </w:rPr>
              <w:fldChar w:fldCharType="end"/>
            </w:r>
          </w:hyperlink>
        </w:p>
        <w:p w14:paraId="7709070A" w14:textId="74D25717" w:rsidR="00C266BD" w:rsidRDefault="00016BE1">
          <w:pPr>
            <w:pStyle w:val="TM1"/>
            <w:tabs>
              <w:tab w:val="right" w:leader="dot" w:pos="9062"/>
            </w:tabs>
            <w:rPr>
              <w:rFonts w:eastAsiaTheme="minorEastAsia"/>
              <w:noProof/>
              <w:lang w:eastAsia="fr-FR"/>
            </w:rPr>
          </w:pPr>
          <w:hyperlink w:anchor="_Toc195022531" w:history="1">
            <w:r w:rsidR="00C266BD" w:rsidRPr="00941E20">
              <w:rPr>
                <w:rStyle w:val="Lienhypertexte"/>
                <w:noProof/>
              </w:rPr>
              <w:t>Politique d’accessibilité numérique de la MDO</w:t>
            </w:r>
            <w:r w:rsidR="00C266BD">
              <w:rPr>
                <w:noProof/>
                <w:webHidden/>
              </w:rPr>
              <w:tab/>
            </w:r>
            <w:r w:rsidR="00C266BD">
              <w:rPr>
                <w:noProof/>
                <w:webHidden/>
              </w:rPr>
              <w:fldChar w:fldCharType="begin"/>
            </w:r>
            <w:r w:rsidR="00C266BD">
              <w:rPr>
                <w:noProof/>
                <w:webHidden/>
              </w:rPr>
              <w:instrText xml:space="preserve"> PAGEREF _Toc195022531 \h </w:instrText>
            </w:r>
            <w:r w:rsidR="00C266BD">
              <w:rPr>
                <w:noProof/>
                <w:webHidden/>
              </w:rPr>
            </w:r>
            <w:r w:rsidR="00C266BD">
              <w:rPr>
                <w:noProof/>
                <w:webHidden/>
              </w:rPr>
              <w:fldChar w:fldCharType="separate"/>
            </w:r>
            <w:r>
              <w:rPr>
                <w:noProof/>
                <w:webHidden/>
              </w:rPr>
              <w:t>4</w:t>
            </w:r>
            <w:r w:rsidR="00C266BD">
              <w:rPr>
                <w:noProof/>
                <w:webHidden/>
              </w:rPr>
              <w:fldChar w:fldCharType="end"/>
            </w:r>
          </w:hyperlink>
        </w:p>
        <w:p w14:paraId="305FF029" w14:textId="4E602D93" w:rsidR="00C266BD" w:rsidRDefault="00016BE1">
          <w:pPr>
            <w:pStyle w:val="TM2"/>
            <w:tabs>
              <w:tab w:val="right" w:leader="dot" w:pos="9062"/>
            </w:tabs>
            <w:rPr>
              <w:rFonts w:eastAsiaTheme="minorEastAsia"/>
              <w:noProof/>
              <w:lang w:eastAsia="fr-FR"/>
            </w:rPr>
          </w:pPr>
          <w:hyperlink w:anchor="_Toc195022532" w:history="1">
            <w:r w:rsidR="00C266BD" w:rsidRPr="00941E20">
              <w:rPr>
                <w:rStyle w:val="Lienhypertexte"/>
                <w:noProof/>
              </w:rPr>
              <w:t>Schéma pluriannuel d’accessibilité numérique</w:t>
            </w:r>
            <w:r w:rsidR="00C266BD">
              <w:rPr>
                <w:noProof/>
                <w:webHidden/>
              </w:rPr>
              <w:tab/>
            </w:r>
            <w:r w:rsidR="00C266BD">
              <w:rPr>
                <w:noProof/>
                <w:webHidden/>
              </w:rPr>
              <w:fldChar w:fldCharType="begin"/>
            </w:r>
            <w:r w:rsidR="00C266BD">
              <w:rPr>
                <w:noProof/>
                <w:webHidden/>
              </w:rPr>
              <w:instrText xml:space="preserve"> PAGEREF _Toc195022532 \h </w:instrText>
            </w:r>
            <w:r w:rsidR="00C266BD">
              <w:rPr>
                <w:noProof/>
                <w:webHidden/>
              </w:rPr>
            </w:r>
            <w:r w:rsidR="00C266BD">
              <w:rPr>
                <w:noProof/>
                <w:webHidden/>
              </w:rPr>
              <w:fldChar w:fldCharType="separate"/>
            </w:r>
            <w:r>
              <w:rPr>
                <w:noProof/>
                <w:webHidden/>
              </w:rPr>
              <w:t>4</w:t>
            </w:r>
            <w:r w:rsidR="00C266BD">
              <w:rPr>
                <w:noProof/>
                <w:webHidden/>
              </w:rPr>
              <w:fldChar w:fldCharType="end"/>
            </w:r>
          </w:hyperlink>
        </w:p>
        <w:p w14:paraId="6B8D3387" w14:textId="417F92B9" w:rsidR="00C266BD" w:rsidRDefault="00016BE1">
          <w:pPr>
            <w:pStyle w:val="TM1"/>
            <w:tabs>
              <w:tab w:val="right" w:leader="dot" w:pos="9062"/>
            </w:tabs>
            <w:rPr>
              <w:rFonts w:eastAsiaTheme="minorEastAsia"/>
              <w:noProof/>
              <w:lang w:eastAsia="fr-FR"/>
            </w:rPr>
          </w:pPr>
          <w:hyperlink w:anchor="_Toc195022533" w:history="1">
            <w:r w:rsidR="00C266BD" w:rsidRPr="00941E20">
              <w:rPr>
                <w:rStyle w:val="Lienhypertexte"/>
                <w:noProof/>
              </w:rPr>
              <w:t>Organisation de la prise en compte de l’accessibilité numérique</w:t>
            </w:r>
            <w:r w:rsidR="00C266BD">
              <w:rPr>
                <w:noProof/>
                <w:webHidden/>
              </w:rPr>
              <w:tab/>
            </w:r>
            <w:r w:rsidR="00C266BD">
              <w:rPr>
                <w:noProof/>
                <w:webHidden/>
              </w:rPr>
              <w:fldChar w:fldCharType="begin"/>
            </w:r>
            <w:r w:rsidR="00C266BD">
              <w:rPr>
                <w:noProof/>
                <w:webHidden/>
              </w:rPr>
              <w:instrText xml:space="preserve"> PAGEREF _Toc195022533 \h </w:instrText>
            </w:r>
            <w:r w:rsidR="00C266BD">
              <w:rPr>
                <w:noProof/>
                <w:webHidden/>
              </w:rPr>
            </w:r>
            <w:r w:rsidR="00C266BD">
              <w:rPr>
                <w:noProof/>
                <w:webHidden/>
              </w:rPr>
              <w:fldChar w:fldCharType="separate"/>
            </w:r>
            <w:r>
              <w:rPr>
                <w:noProof/>
                <w:webHidden/>
              </w:rPr>
              <w:t>5</w:t>
            </w:r>
            <w:r w:rsidR="00C266BD">
              <w:rPr>
                <w:noProof/>
                <w:webHidden/>
              </w:rPr>
              <w:fldChar w:fldCharType="end"/>
            </w:r>
          </w:hyperlink>
        </w:p>
        <w:p w14:paraId="22FEABB2" w14:textId="071ED7B8" w:rsidR="00C266BD" w:rsidRDefault="00016BE1">
          <w:pPr>
            <w:pStyle w:val="TM2"/>
            <w:tabs>
              <w:tab w:val="right" w:leader="dot" w:pos="9062"/>
            </w:tabs>
            <w:rPr>
              <w:rFonts w:eastAsiaTheme="minorEastAsia"/>
              <w:noProof/>
              <w:lang w:eastAsia="fr-FR"/>
            </w:rPr>
          </w:pPr>
          <w:hyperlink w:anchor="_Toc195022534" w:history="1">
            <w:r w:rsidR="00C266BD" w:rsidRPr="00941E20">
              <w:rPr>
                <w:rStyle w:val="Lienhypertexte"/>
                <w:noProof/>
              </w:rPr>
              <w:t>Recours à des compétences externes</w:t>
            </w:r>
            <w:r w:rsidR="00C266BD">
              <w:rPr>
                <w:noProof/>
                <w:webHidden/>
              </w:rPr>
              <w:tab/>
            </w:r>
            <w:r w:rsidR="00C266BD">
              <w:rPr>
                <w:noProof/>
                <w:webHidden/>
              </w:rPr>
              <w:fldChar w:fldCharType="begin"/>
            </w:r>
            <w:r w:rsidR="00C266BD">
              <w:rPr>
                <w:noProof/>
                <w:webHidden/>
              </w:rPr>
              <w:instrText xml:space="preserve"> PAGEREF _Toc195022534 \h </w:instrText>
            </w:r>
            <w:r w:rsidR="00C266BD">
              <w:rPr>
                <w:noProof/>
                <w:webHidden/>
              </w:rPr>
            </w:r>
            <w:r w:rsidR="00C266BD">
              <w:rPr>
                <w:noProof/>
                <w:webHidden/>
              </w:rPr>
              <w:fldChar w:fldCharType="separate"/>
            </w:r>
            <w:r>
              <w:rPr>
                <w:noProof/>
                <w:webHidden/>
              </w:rPr>
              <w:t>5</w:t>
            </w:r>
            <w:r w:rsidR="00C266BD">
              <w:rPr>
                <w:noProof/>
                <w:webHidden/>
              </w:rPr>
              <w:fldChar w:fldCharType="end"/>
            </w:r>
          </w:hyperlink>
        </w:p>
        <w:p w14:paraId="1F0D83A3" w14:textId="372D42AE" w:rsidR="00C266BD" w:rsidRDefault="00016BE1">
          <w:pPr>
            <w:pStyle w:val="TM2"/>
            <w:tabs>
              <w:tab w:val="right" w:leader="dot" w:pos="9062"/>
            </w:tabs>
            <w:rPr>
              <w:rFonts w:eastAsiaTheme="minorEastAsia"/>
              <w:noProof/>
              <w:lang w:eastAsia="fr-FR"/>
            </w:rPr>
          </w:pPr>
          <w:hyperlink w:anchor="_Toc195022535" w:history="1">
            <w:r w:rsidR="00C266BD" w:rsidRPr="00941E20">
              <w:rPr>
                <w:rStyle w:val="Lienhypertexte"/>
                <w:noProof/>
              </w:rPr>
              <w:t>Politique des ressources humaines</w:t>
            </w:r>
            <w:r w:rsidR="00C266BD">
              <w:rPr>
                <w:noProof/>
                <w:webHidden/>
              </w:rPr>
              <w:tab/>
            </w:r>
            <w:r w:rsidR="00C266BD">
              <w:rPr>
                <w:noProof/>
                <w:webHidden/>
              </w:rPr>
              <w:fldChar w:fldCharType="begin"/>
            </w:r>
            <w:r w:rsidR="00C266BD">
              <w:rPr>
                <w:noProof/>
                <w:webHidden/>
              </w:rPr>
              <w:instrText xml:space="preserve"> PAGEREF _Toc195022535 \h </w:instrText>
            </w:r>
            <w:r w:rsidR="00C266BD">
              <w:rPr>
                <w:noProof/>
                <w:webHidden/>
              </w:rPr>
            </w:r>
            <w:r w:rsidR="00C266BD">
              <w:rPr>
                <w:noProof/>
                <w:webHidden/>
              </w:rPr>
              <w:fldChar w:fldCharType="separate"/>
            </w:r>
            <w:r>
              <w:rPr>
                <w:noProof/>
                <w:webHidden/>
              </w:rPr>
              <w:t>5</w:t>
            </w:r>
            <w:r w:rsidR="00C266BD">
              <w:rPr>
                <w:noProof/>
                <w:webHidden/>
              </w:rPr>
              <w:fldChar w:fldCharType="end"/>
            </w:r>
          </w:hyperlink>
        </w:p>
        <w:p w14:paraId="647FD1FD" w14:textId="369E722F" w:rsidR="00C266BD" w:rsidRDefault="00016BE1">
          <w:pPr>
            <w:pStyle w:val="TM3"/>
            <w:tabs>
              <w:tab w:val="right" w:leader="dot" w:pos="9062"/>
            </w:tabs>
            <w:rPr>
              <w:rFonts w:eastAsiaTheme="minorEastAsia"/>
              <w:noProof/>
              <w:lang w:eastAsia="fr-FR"/>
            </w:rPr>
          </w:pPr>
          <w:hyperlink w:anchor="_Toc195022536" w:history="1">
            <w:r w:rsidR="00C266BD" w:rsidRPr="00941E20">
              <w:rPr>
                <w:rStyle w:val="Lienhypertexte"/>
                <w:noProof/>
              </w:rPr>
              <w:t>Formation des équipes internes</w:t>
            </w:r>
            <w:r w:rsidR="00C266BD">
              <w:rPr>
                <w:noProof/>
                <w:webHidden/>
              </w:rPr>
              <w:tab/>
            </w:r>
            <w:r w:rsidR="00C266BD">
              <w:rPr>
                <w:noProof/>
                <w:webHidden/>
              </w:rPr>
              <w:fldChar w:fldCharType="begin"/>
            </w:r>
            <w:r w:rsidR="00C266BD">
              <w:rPr>
                <w:noProof/>
                <w:webHidden/>
              </w:rPr>
              <w:instrText xml:space="preserve"> PAGEREF _Toc195022536 \h </w:instrText>
            </w:r>
            <w:r w:rsidR="00C266BD">
              <w:rPr>
                <w:noProof/>
                <w:webHidden/>
              </w:rPr>
            </w:r>
            <w:r w:rsidR="00C266BD">
              <w:rPr>
                <w:noProof/>
                <w:webHidden/>
              </w:rPr>
              <w:fldChar w:fldCharType="separate"/>
            </w:r>
            <w:r>
              <w:rPr>
                <w:noProof/>
                <w:webHidden/>
              </w:rPr>
              <w:t>5</w:t>
            </w:r>
            <w:r w:rsidR="00C266BD">
              <w:rPr>
                <w:noProof/>
                <w:webHidden/>
              </w:rPr>
              <w:fldChar w:fldCharType="end"/>
            </w:r>
          </w:hyperlink>
        </w:p>
        <w:p w14:paraId="16A7C595" w14:textId="4F29A04F" w:rsidR="00C266BD" w:rsidRDefault="00016BE1">
          <w:pPr>
            <w:pStyle w:val="TM3"/>
            <w:tabs>
              <w:tab w:val="right" w:leader="dot" w:pos="9062"/>
            </w:tabs>
            <w:rPr>
              <w:rFonts w:eastAsiaTheme="minorEastAsia"/>
              <w:noProof/>
              <w:lang w:eastAsia="fr-FR"/>
            </w:rPr>
          </w:pPr>
          <w:hyperlink w:anchor="_Toc195022537" w:history="1">
            <w:r w:rsidR="00C266BD" w:rsidRPr="00941E20">
              <w:rPr>
                <w:rStyle w:val="Lienhypertexte"/>
                <w:noProof/>
              </w:rPr>
              <w:t>Recrutement</w:t>
            </w:r>
            <w:r w:rsidR="00C266BD">
              <w:rPr>
                <w:noProof/>
                <w:webHidden/>
              </w:rPr>
              <w:tab/>
            </w:r>
            <w:r w:rsidR="00C266BD">
              <w:rPr>
                <w:noProof/>
                <w:webHidden/>
              </w:rPr>
              <w:fldChar w:fldCharType="begin"/>
            </w:r>
            <w:r w:rsidR="00C266BD">
              <w:rPr>
                <w:noProof/>
                <w:webHidden/>
              </w:rPr>
              <w:instrText xml:space="preserve"> PAGEREF _Toc195022537 \h </w:instrText>
            </w:r>
            <w:r w:rsidR="00C266BD">
              <w:rPr>
                <w:noProof/>
                <w:webHidden/>
              </w:rPr>
            </w:r>
            <w:r w:rsidR="00C266BD">
              <w:rPr>
                <w:noProof/>
                <w:webHidden/>
              </w:rPr>
              <w:fldChar w:fldCharType="separate"/>
            </w:r>
            <w:r>
              <w:rPr>
                <w:noProof/>
                <w:webHidden/>
              </w:rPr>
              <w:t>5</w:t>
            </w:r>
            <w:r w:rsidR="00C266BD">
              <w:rPr>
                <w:noProof/>
                <w:webHidden/>
              </w:rPr>
              <w:fldChar w:fldCharType="end"/>
            </w:r>
          </w:hyperlink>
        </w:p>
        <w:p w14:paraId="3D53A378" w14:textId="61EAFA13" w:rsidR="00C266BD" w:rsidRDefault="00016BE1">
          <w:pPr>
            <w:pStyle w:val="TM2"/>
            <w:tabs>
              <w:tab w:val="right" w:leader="dot" w:pos="9062"/>
            </w:tabs>
            <w:rPr>
              <w:rFonts w:eastAsiaTheme="minorEastAsia"/>
              <w:noProof/>
              <w:lang w:eastAsia="fr-FR"/>
            </w:rPr>
          </w:pPr>
          <w:hyperlink w:anchor="_Toc195022538" w:history="1">
            <w:r w:rsidR="00C266BD" w:rsidRPr="00941E20">
              <w:rPr>
                <w:rStyle w:val="Lienhypertexte"/>
                <w:noProof/>
              </w:rPr>
              <w:t>Prise en compte de l’accessibilité numérique dans les procédures de marché</w:t>
            </w:r>
            <w:r w:rsidR="00C266BD">
              <w:rPr>
                <w:noProof/>
                <w:webHidden/>
              </w:rPr>
              <w:tab/>
            </w:r>
            <w:r w:rsidR="00C266BD">
              <w:rPr>
                <w:noProof/>
                <w:webHidden/>
              </w:rPr>
              <w:fldChar w:fldCharType="begin"/>
            </w:r>
            <w:r w:rsidR="00C266BD">
              <w:rPr>
                <w:noProof/>
                <w:webHidden/>
              </w:rPr>
              <w:instrText xml:space="preserve"> PAGEREF _Toc195022538 \h </w:instrText>
            </w:r>
            <w:r w:rsidR="00C266BD">
              <w:rPr>
                <w:noProof/>
                <w:webHidden/>
              </w:rPr>
            </w:r>
            <w:r w:rsidR="00C266BD">
              <w:rPr>
                <w:noProof/>
                <w:webHidden/>
              </w:rPr>
              <w:fldChar w:fldCharType="separate"/>
            </w:r>
            <w:r>
              <w:rPr>
                <w:noProof/>
                <w:webHidden/>
              </w:rPr>
              <w:t>5</w:t>
            </w:r>
            <w:r w:rsidR="00C266BD">
              <w:rPr>
                <w:noProof/>
                <w:webHidden/>
              </w:rPr>
              <w:fldChar w:fldCharType="end"/>
            </w:r>
          </w:hyperlink>
        </w:p>
        <w:p w14:paraId="4CB3113A" w14:textId="2BC2C05D" w:rsidR="00C266BD" w:rsidRDefault="00016BE1">
          <w:pPr>
            <w:pStyle w:val="TM3"/>
            <w:tabs>
              <w:tab w:val="right" w:leader="dot" w:pos="9062"/>
            </w:tabs>
            <w:rPr>
              <w:rFonts w:eastAsiaTheme="minorEastAsia"/>
              <w:noProof/>
              <w:lang w:eastAsia="fr-FR"/>
            </w:rPr>
          </w:pPr>
          <w:hyperlink w:anchor="_Toc195022539" w:history="1">
            <w:r w:rsidR="00C266BD" w:rsidRPr="00941E20">
              <w:rPr>
                <w:rStyle w:val="Lienhypertexte"/>
                <w:noProof/>
              </w:rPr>
              <w:t>Adaptation des procédures d’élaboration des marchés</w:t>
            </w:r>
            <w:r w:rsidR="00C266BD">
              <w:rPr>
                <w:noProof/>
                <w:webHidden/>
              </w:rPr>
              <w:tab/>
            </w:r>
            <w:r w:rsidR="00C266BD">
              <w:rPr>
                <w:noProof/>
                <w:webHidden/>
              </w:rPr>
              <w:fldChar w:fldCharType="begin"/>
            </w:r>
            <w:r w:rsidR="00C266BD">
              <w:rPr>
                <w:noProof/>
                <w:webHidden/>
              </w:rPr>
              <w:instrText xml:space="preserve"> PAGEREF _Toc195022539 \h </w:instrText>
            </w:r>
            <w:r w:rsidR="00C266BD">
              <w:rPr>
                <w:noProof/>
                <w:webHidden/>
              </w:rPr>
            </w:r>
            <w:r w:rsidR="00C266BD">
              <w:rPr>
                <w:noProof/>
                <w:webHidden/>
              </w:rPr>
              <w:fldChar w:fldCharType="separate"/>
            </w:r>
            <w:r>
              <w:rPr>
                <w:noProof/>
                <w:webHidden/>
              </w:rPr>
              <w:t>5</w:t>
            </w:r>
            <w:r w:rsidR="00C266BD">
              <w:rPr>
                <w:noProof/>
                <w:webHidden/>
              </w:rPr>
              <w:fldChar w:fldCharType="end"/>
            </w:r>
          </w:hyperlink>
        </w:p>
        <w:p w14:paraId="0CA8C7B9" w14:textId="4CD5450B" w:rsidR="00C266BD" w:rsidRDefault="00016BE1">
          <w:pPr>
            <w:pStyle w:val="TM2"/>
            <w:tabs>
              <w:tab w:val="right" w:leader="dot" w:pos="9062"/>
            </w:tabs>
            <w:rPr>
              <w:rFonts w:eastAsiaTheme="minorEastAsia"/>
              <w:noProof/>
              <w:lang w:eastAsia="fr-FR"/>
            </w:rPr>
          </w:pPr>
          <w:hyperlink w:anchor="_Toc195022540" w:history="1">
            <w:r w:rsidR="00C266BD" w:rsidRPr="00941E20">
              <w:rPr>
                <w:rStyle w:val="Lienhypertexte"/>
                <w:noProof/>
              </w:rPr>
              <w:t>Impact sur la politique des systèmes d’information et conduite de projets numériques</w:t>
            </w:r>
            <w:r w:rsidR="00C266BD">
              <w:rPr>
                <w:noProof/>
                <w:webHidden/>
              </w:rPr>
              <w:tab/>
            </w:r>
            <w:r w:rsidR="00C266BD">
              <w:rPr>
                <w:noProof/>
                <w:webHidden/>
              </w:rPr>
              <w:fldChar w:fldCharType="begin"/>
            </w:r>
            <w:r w:rsidR="00C266BD">
              <w:rPr>
                <w:noProof/>
                <w:webHidden/>
              </w:rPr>
              <w:instrText xml:space="preserve"> PAGEREF _Toc195022540 \h </w:instrText>
            </w:r>
            <w:r w:rsidR="00C266BD">
              <w:rPr>
                <w:noProof/>
                <w:webHidden/>
              </w:rPr>
            </w:r>
            <w:r w:rsidR="00C266BD">
              <w:rPr>
                <w:noProof/>
                <w:webHidden/>
              </w:rPr>
              <w:fldChar w:fldCharType="separate"/>
            </w:r>
            <w:r>
              <w:rPr>
                <w:noProof/>
                <w:webHidden/>
              </w:rPr>
              <w:t>6</w:t>
            </w:r>
            <w:r w:rsidR="00C266BD">
              <w:rPr>
                <w:noProof/>
                <w:webHidden/>
              </w:rPr>
              <w:fldChar w:fldCharType="end"/>
            </w:r>
          </w:hyperlink>
        </w:p>
        <w:p w14:paraId="4202BC07" w14:textId="5AE859CE" w:rsidR="00C266BD" w:rsidRDefault="00016BE1">
          <w:pPr>
            <w:pStyle w:val="TM3"/>
            <w:tabs>
              <w:tab w:val="right" w:leader="dot" w:pos="9062"/>
            </w:tabs>
            <w:rPr>
              <w:rFonts w:eastAsiaTheme="minorEastAsia"/>
              <w:noProof/>
              <w:lang w:eastAsia="fr-FR"/>
            </w:rPr>
          </w:pPr>
          <w:hyperlink w:anchor="_Toc195022541" w:history="1">
            <w:r w:rsidR="00C266BD" w:rsidRPr="00941E20">
              <w:rPr>
                <w:rStyle w:val="Lienhypertexte"/>
                <w:noProof/>
              </w:rPr>
              <w:t>Mise en conformité des dispositifs numériques</w:t>
            </w:r>
            <w:r w:rsidR="00C266BD">
              <w:rPr>
                <w:noProof/>
                <w:webHidden/>
              </w:rPr>
              <w:tab/>
            </w:r>
            <w:r w:rsidR="00C266BD">
              <w:rPr>
                <w:noProof/>
                <w:webHidden/>
              </w:rPr>
              <w:fldChar w:fldCharType="begin"/>
            </w:r>
            <w:r w:rsidR="00C266BD">
              <w:rPr>
                <w:noProof/>
                <w:webHidden/>
              </w:rPr>
              <w:instrText xml:space="preserve"> PAGEREF _Toc195022541 \h </w:instrText>
            </w:r>
            <w:r w:rsidR="00C266BD">
              <w:rPr>
                <w:noProof/>
                <w:webHidden/>
              </w:rPr>
            </w:r>
            <w:r w:rsidR="00C266BD">
              <w:rPr>
                <w:noProof/>
                <w:webHidden/>
              </w:rPr>
              <w:fldChar w:fldCharType="separate"/>
            </w:r>
            <w:r>
              <w:rPr>
                <w:noProof/>
                <w:webHidden/>
              </w:rPr>
              <w:t>6</w:t>
            </w:r>
            <w:r w:rsidR="00C266BD">
              <w:rPr>
                <w:noProof/>
                <w:webHidden/>
              </w:rPr>
              <w:fldChar w:fldCharType="end"/>
            </w:r>
          </w:hyperlink>
        </w:p>
        <w:p w14:paraId="7DF43EBE" w14:textId="4C9D47ED" w:rsidR="00C266BD" w:rsidRDefault="00016BE1">
          <w:pPr>
            <w:pStyle w:val="TM2"/>
            <w:tabs>
              <w:tab w:val="right" w:leader="dot" w:pos="9062"/>
            </w:tabs>
            <w:rPr>
              <w:rFonts w:eastAsiaTheme="minorEastAsia"/>
              <w:noProof/>
              <w:lang w:eastAsia="fr-FR"/>
            </w:rPr>
          </w:pPr>
          <w:hyperlink w:anchor="_Toc195022542" w:history="1">
            <w:r w:rsidR="00C266BD" w:rsidRPr="00941E20">
              <w:rPr>
                <w:rStyle w:val="Lienhypertexte"/>
                <w:noProof/>
              </w:rPr>
              <w:t>Relation usagers de l’accessibilité numérique</w:t>
            </w:r>
            <w:r w:rsidR="00C266BD">
              <w:rPr>
                <w:noProof/>
                <w:webHidden/>
              </w:rPr>
              <w:tab/>
            </w:r>
            <w:r w:rsidR="00C266BD">
              <w:rPr>
                <w:noProof/>
                <w:webHidden/>
              </w:rPr>
              <w:fldChar w:fldCharType="begin"/>
            </w:r>
            <w:r w:rsidR="00C266BD">
              <w:rPr>
                <w:noProof/>
                <w:webHidden/>
              </w:rPr>
              <w:instrText xml:space="preserve"> PAGEREF _Toc195022542 \h </w:instrText>
            </w:r>
            <w:r w:rsidR="00C266BD">
              <w:rPr>
                <w:noProof/>
                <w:webHidden/>
              </w:rPr>
            </w:r>
            <w:r w:rsidR="00C266BD">
              <w:rPr>
                <w:noProof/>
                <w:webHidden/>
              </w:rPr>
              <w:fldChar w:fldCharType="separate"/>
            </w:r>
            <w:r>
              <w:rPr>
                <w:noProof/>
                <w:webHidden/>
              </w:rPr>
              <w:t>6</w:t>
            </w:r>
            <w:r w:rsidR="00C266BD">
              <w:rPr>
                <w:noProof/>
                <w:webHidden/>
              </w:rPr>
              <w:fldChar w:fldCharType="end"/>
            </w:r>
          </w:hyperlink>
        </w:p>
        <w:p w14:paraId="1E17F5F0" w14:textId="6A18F298" w:rsidR="00C266BD" w:rsidRDefault="00016BE1">
          <w:pPr>
            <w:pStyle w:val="TM3"/>
            <w:tabs>
              <w:tab w:val="right" w:leader="dot" w:pos="9062"/>
            </w:tabs>
            <w:rPr>
              <w:rFonts w:eastAsiaTheme="minorEastAsia"/>
              <w:noProof/>
              <w:lang w:eastAsia="fr-FR"/>
            </w:rPr>
          </w:pPr>
          <w:hyperlink w:anchor="_Toc195022543" w:history="1">
            <w:r w:rsidR="00C266BD" w:rsidRPr="00941E20">
              <w:rPr>
                <w:rStyle w:val="Lienhypertexte"/>
                <w:noProof/>
              </w:rPr>
              <w:t>Traitement des retours utilisateurs</w:t>
            </w:r>
            <w:r w:rsidR="00C266BD">
              <w:rPr>
                <w:noProof/>
                <w:webHidden/>
              </w:rPr>
              <w:tab/>
            </w:r>
            <w:r w:rsidR="00C266BD">
              <w:rPr>
                <w:noProof/>
                <w:webHidden/>
              </w:rPr>
              <w:fldChar w:fldCharType="begin"/>
            </w:r>
            <w:r w:rsidR="00C266BD">
              <w:rPr>
                <w:noProof/>
                <w:webHidden/>
              </w:rPr>
              <w:instrText xml:space="preserve"> PAGEREF _Toc195022543 \h </w:instrText>
            </w:r>
            <w:r w:rsidR="00C266BD">
              <w:rPr>
                <w:noProof/>
                <w:webHidden/>
              </w:rPr>
            </w:r>
            <w:r w:rsidR="00C266BD">
              <w:rPr>
                <w:noProof/>
                <w:webHidden/>
              </w:rPr>
              <w:fldChar w:fldCharType="separate"/>
            </w:r>
            <w:r>
              <w:rPr>
                <w:noProof/>
                <w:webHidden/>
              </w:rPr>
              <w:t>6</w:t>
            </w:r>
            <w:r w:rsidR="00C266BD">
              <w:rPr>
                <w:noProof/>
                <w:webHidden/>
              </w:rPr>
              <w:fldChar w:fldCharType="end"/>
            </w:r>
          </w:hyperlink>
        </w:p>
        <w:p w14:paraId="1842B5DB" w14:textId="0C0BD7BD" w:rsidR="00C266BD" w:rsidRDefault="00016BE1">
          <w:pPr>
            <w:pStyle w:val="TM2"/>
            <w:tabs>
              <w:tab w:val="right" w:leader="dot" w:pos="9062"/>
            </w:tabs>
            <w:rPr>
              <w:rFonts w:eastAsiaTheme="minorEastAsia"/>
              <w:noProof/>
              <w:lang w:eastAsia="fr-FR"/>
            </w:rPr>
          </w:pPr>
          <w:hyperlink w:anchor="_Toc195022544" w:history="1">
            <w:r w:rsidR="00C266BD" w:rsidRPr="00941E20">
              <w:rPr>
                <w:rStyle w:val="Lienhypertexte"/>
                <w:noProof/>
              </w:rPr>
              <w:t>Périmètre technique et fonctionnel</w:t>
            </w:r>
            <w:r w:rsidR="00C266BD">
              <w:rPr>
                <w:noProof/>
                <w:webHidden/>
              </w:rPr>
              <w:tab/>
            </w:r>
            <w:r w:rsidR="00C266BD">
              <w:rPr>
                <w:noProof/>
                <w:webHidden/>
              </w:rPr>
              <w:fldChar w:fldCharType="begin"/>
            </w:r>
            <w:r w:rsidR="00C266BD">
              <w:rPr>
                <w:noProof/>
                <w:webHidden/>
              </w:rPr>
              <w:instrText xml:space="preserve"> PAGEREF _Toc195022544 \h </w:instrText>
            </w:r>
            <w:r w:rsidR="00C266BD">
              <w:rPr>
                <w:noProof/>
                <w:webHidden/>
              </w:rPr>
            </w:r>
            <w:r w:rsidR="00C266BD">
              <w:rPr>
                <w:noProof/>
                <w:webHidden/>
              </w:rPr>
              <w:fldChar w:fldCharType="separate"/>
            </w:r>
            <w:r>
              <w:rPr>
                <w:noProof/>
                <w:webHidden/>
              </w:rPr>
              <w:t>6</w:t>
            </w:r>
            <w:r w:rsidR="00C266BD">
              <w:rPr>
                <w:noProof/>
                <w:webHidden/>
              </w:rPr>
              <w:fldChar w:fldCharType="end"/>
            </w:r>
          </w:hyperlink>
        </w:p>
        <w:p w14:paraId="524758D7" w14:textId="2CC4434D" w:rsidR="00C266BD" w:rsidRDefault="00016BE1">
          <w:pPr>
            <w:pStyle w:val="TM3"/>
            <w:tabs>
              <w:tab w:val="right" w:leader="dot" w:pos="9062"/>
            </w:tabs>
            <w:rPr>
              <w:rFonts w:eastAsiaTheme="minorEastAsia"/>
              <w:noProof/>
              <w:lang w:eastAsia="fr-FR"/>
            </w:rPr>
          </w:pPr>
          <w:hyperlink w:anchor="_Toc195022545" w:history="1">
            <w:r w:rsidR="00C266BD" w:rsidRPr="00941E20">
              <w:rPr>
                <w:rStyle w:val="Lienhypertexte"/>
                <w:noProof/>
              </w:rPr>
              <w:t>Évaluation</w:t>
            </w:r>
            <w:r w:rsidR="00C266BD">
              <w:rPr>
                <w:noProof/>
                <w:webHidden/>
              </w:rPr>
              <w:tab/>
            </w:r>
            <w:r w:rsidR="00C266BD">
              <w:rPr>
                <w:noProof/>
                <w:webHidden/>
              </w:rPr>
              <w:fldChar w:fldCharType="begin"/>
            </w:r>
            <w:r w:rsidR="00C266BD">
              <w:rPr>
                <w:noProof/>
                <w:webHidden/>
              </w:rPr>
              <w:instrText xml:space="preserve"> PAGEREF _Toc195022545 \h </w:instrText>
            </w:r>
            <w:r w:rsidR="00C266BD">
              <w:rPr>
                <w:noProof/>
                <w:webHidden/>
              </w:rPr>
            </w:r>
            <w:r w:rsidR="00C266BD">
              <w:rPr>
                <w:noProof/>
                <w:webHidden/>
              </w:rPr>
              <w:fldChar w:fldCharType="separate"/>
            </w:r>
            <w:r>
              <w:rPr>
                <w:noProof/>
                <w:webHidden/>
              </w:rPr>
              <w:t>6</w:t>
            </w:r>
            <w:r w:rsidR="00C266BD">
              <w:rPr>
                <w:noProof/>
                <w:webHidden/>
              </w:rPr>
              <w:fldChar w:fldCharType="end"/>
            </w:r>
          </w:hyperlink>
        </w:p>
        <w:p w14:paraId="1628187C" w14:textId="180AA91A" w:rsidR="00C266BD" w:rsidRDefault="00016BE1">
          <w:pPr>
            <w:pStyle w:val="TM3"/>
            <w:tabs>
              <w:tab w:val="right" w:leader="dot" w:pos="9062"/>
            </w:tabs>
            <w:rPr>
              <w:rFonts w:eastAsiaTheme="minorEastAsia"/>
              <w:noProof/>
              <w:lang w:eastAsia="fr-FR"/>
            </w:rPr>
          </w:pPr>
          <w:hyperlink w:anchor="_Toc195022546" w:history="1">
            <w:r w:rsidR="00C266BD" w:rsidRPr="00941E20">
              <w:rPr>
                <w:rStyle w:val="Lienhypertexte"/>
                <w:noProof/>
              </w:rPr>
              <w:t>Plans annuels</w:t>
            </w:r>
            <w:r w:rsidR="00C266BD">
              <w:rPr>
                <w:noProof/>
                <w:webHidden/>
              </w:rPr>
              <w:tab/>
            </w:r>
            <w:r w:rsidR="00C266BD">
              <w:rPr>
                <w:noProof/>
                <w:webHidden/>
              </w:rPr>
              <w:fldChar w:fldCharType="begin"/>
            </w:r>
            <w:r w:rsidR="00C266BD">
              <w:rPr>
                <w:noProof/>
                <w:webHidden/>
              </w:rPr>
              <w:instrText xml:space="preserve"> PAGEREF _Toc195022546 \h </w:instrText>
            </w:r>
            <w:r w:rsidR="00C266BD">
              <w:rPr>
                <w:noProof/>
                <w:webHidden/>
              </w:rPr>
            </w:r>
            <w:r w:rsidR="00C266BD">
              <w:rPr>
                <w:noProof/>
                <w:webHidden/>
              </w:rPr>
              <w:fldChar w:fldCharType="separate"/>
            </w:r>
            <w:r>
              <w:rPr>
                <w:noProof/>
                <w:webHidden/>
              </w:rPr>
              <w:t>6</w:t>
            </w:r>
            <w:r w:rsidR="00C266BD">
              <w:rPr>
                <w:noProof/>
                <w:webHidden/>
              </w:rPr>
              <w:fldChar w:fldCharType="end"/>
            </w:r>
          </w:hyperlink>
        </w:p>
        <w:p w14:paraId="39A639CB" w14:textId="4E1C853A" w:rsidR="004A6C10" w:rsidRDefault="004A6C10" w:rsidP="004A6C10">
          <w:pPr>
            <w:spacing w:line="360" w:lineRule="auto"/>
          </w:pPr>
          <w:r w:rsidRPr="004A6C10">
            <w:rPr>
              <w:b/>
              <w:bCs/>
              <w:spacing w:val="20"/>
            </w:rPr>
            <w:fldChar w:fldCharType="end"/>
          </w:r>
        </w:p>
      </w:sdtContent>
    </w:sdt>
    <w:p w14:paraId="72A54907" w14:textId="4C55C046" w:rsidR="00506330" w:rsidRDefault="00506330">
      <w:r>
        <w:br w:type="page"/>
      </w:r>
    </w:p>
    <w:p w14:paraId="06AA569A" w14:textId="240C708E" w:rsidR="00822A19" w:rsidRDefault="00822A19" w:rsidP="00822A19">
      <w:pPr>
        <w:pStyle w:val="Titre1"/>
      </w:pPr>
      <w:bookmarkStart w:id="0" w:name="_Toc195022528"/>
      <w:r>
        <w:lastRenderedPageBreak/>
        <w:t>Accessibilité numérique</w:t>
      </w:r>
      <w:bookmarkEnd w:id="0"/>
    </w:p>
    <w:p w14:paraId="2CB8030F" w14:textId="4AF60450" w:rsidR="00822A19" w:rsidRDefault="00822A19" w:rsidP="00822A19">
      <w:pPr>
        <w:pStyle w:val="Titre2"/>
      </w:pPr>
      <w:bookmarkStart w:id="1" w:name="_Toc195022529"/>
      <w:r>
        <w:t>Définition</w:t>
      </w:r>
      <w:r w:rsidR="00624905">
        <w:t>s</w:t>
      </w:r>
      <w:bookmarkEnd w:id="1"/>
    </w:p>
    <w:p w14:paraId="2DE3FB7F" w14:textId="77777777" w:rsidR="00624905" w:rsidRPr="004A6C10" w:rsidRDefault="00624905" w:rsidP="007B5D8B">
      <w:pPr>
        <w:pStyle w:val="Sansinterligne"/>
        <w:spacing w:line="360" w:lineRule="auto"/>
        <w:rPr>
          <w:spacing w:val="20"/>
        </w:rPr>
      </w:pPr>
      <w:r w:rsidRPr="004A6C10">
        <w:rPr>
          <w:spacing w:val="20"/>
        </w:rPr>
        <w:t>L’accessibilité numérique permet d’accéder aux contenus numériques quelle que soit sa façon de naviguer. Elle est essentielle aux personnes en situation de handicap et bénéficie aux personnes âgées dont les capacités changent avec l’âge ou à toute personne se retrouvant en incapacité temporaire.</w:t>
      </w:r>
    </w:p>
    <w:p w14:paraId="17D86DAB" w14:textId="77777777" w:rsidR="00624905" w:rsidRPr="004A6C10" w:rsidRDefault="00624905" w:rsidP="007B5D8B">
      <w:pPr>
        <w:pStyle w:val="Sansinterligne"/>
        <w:spacing w:line="360" w:lineRule="auto"/>
        <w:rPr>
          <w:spacing w:val="20"/>
        </w:rPr>
      </w:pPr>
      <w:r w:rsidRPr="004A6C10">
        <w:rPr>
          <w:spacing w:val="20"/>
        </w:rPr>
        <w:t>Elle s’inscrit dans une démarche d’égalité afin de garantir à tous le même accès à l’information et aux services en ligne.</w:t>
      </w:r>
    </w:p>
    <w:p w14:paraId="450AAF09" w14:textId="77777777" w:rsidR="00624905" w:rsidRPr="004A6C10" w:rsidRDefault="00624905" w:rsidP="007B5D8B">
      <w:pPr>
        <w:pStyle w:val="Sansinterligne"/>
        <w:spacing w:line="360" w:lineRule="auto"/>
        <w:rPr>
          <w:spacing w:val="20"/>
        </w:rPr>
      </w:pPr>
      <w:r w:rsidRPr="004A6C10">
        <w:rPr>
          <w:spacing w:val="20"/>
        </w:rPr>
        <w:t>Le handicap est défini comme : «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santé invalidant » (article L. 114 du code de l'action sociale et des familles).</w:t>
      </w:r>
    </w:p>
    <w:p w14:paraId="45E9BF4A" w14:textId="77777777" w:rsidR="00624905" w:rsidRPr="004A6C10" w:rsidRDefault="00624905" w:rsidP="007B5D8B">
      <w:pPr>
        <w:pStyle w:val="Sansinterligne"/>
        <w:spacing w:line="360" w:lineRule="auto"/>
        <w:rPr>
          <w:spacing w:val="20"/>
        </w:rPr>
      </w:pPr>
      <w:r w:rsidRPr="004A6C10">
        <w:rPr>
          <w:spacing w:val="20"/>
        </w:rPr>
        <w:t>L'accessibilité numérique consiste à rendre les services de communication au public en ligne accessibles aux personnes handicapées, c'est-à-dire :</w:t>
      </w:r>
    </w:p>
    <w:p w14:paraId="335C5D9D" w14:textId="1745AA3E" w:rsidR="00624905" w:rsidRPr="004A6C10" w:rsidRDefault="00624905" w:rsidP="007B5D8B">
      <w:pPr>
        <w:pStyle w:val="Sansinterligne"/>
        <w:numPr>
          <w:ilvl w:val="0"/>
          <w:numId w:val="4"/>
        </w:numPr>
        <w:spacing w:line="360" w:lineRule="auto"/>
        <w:ind w:left="714" w:hanging="357"/>
        <w:rPr>
          <w:spacing w:val="20"/>
        </w:rPr>
      </w:pPr>
      <w:r w:rsidRPr="004A6C10">
        <w:rPr>
          <w:spacing w:val="20"/>
        </w:rPr>
        <w:t>Perceptibles : par exemple, faciliter la perception visuelle et auditive du contenu par l'utilisateur ; proposer des équivalents textuels à tout contenu non textuel ; créer un contenu qui puisse être présenté de différentes manières sans perte d'information ni de structure (par exemple avec une mise en page simplifiée) ;</w:t>
      </w:r>
    </w:p>
    <w:p w14:paraId="798020CE" w14:textId="423FD729" w:rsidR="00624905" w:rsidRPr="004A6C10" w:rsidRDefault="00624905" w:rsidP="007B5D8B">
      <w:pPr>
        <w:pStyle w:val="Sansinterligne"/>
        <w:numPr>
          <w:ilvl w:val="0"/>
          <w:numId w:val="4"/>
        </w:numPr>
        <w:spacing w:line="360" w:lineRule="auto"/>
        <w:ind w:left="714" w:hanging="357"/>
        <w:rPr>
          <w:spacing w:val="20"/>
        </w:rPr>
      </w:pPr>
      <w:r w:rsidRPr="004A6C10">
        <w:rPr>
          <w:spacing w:val="20"/>
        </w:rPr>
        <w:t>Utilisables : par exemple, fournir à l'utilisateur des éléments d'orientation pour naviguer, trouver le contenu ; rendre toutes les fonctionnalités accessibles au clavier ; laisser à l'utilisateur suffisamment de temps pour lire et utiliser le contenu ; ne pas concevoir de contenu susceptible de provoquer des crises d'épilepsie ;</w:t>
      </w:r>
    </w:p>
    <w:p w14:paraId="437777B2" w14:textId="516D352B" w:rsidR="00624905" w:rsidRPr="004A6C10" w:rsidRDefault="00624905" w:rsidP="007B5D8B">
      <w:pPr>
        <w:pStyle w:val="Sansinterligne"/>
        <w:numPr>
          <w:ilvl w:val="0"/>
          <w:numId w:val="4"/>
        </w:numPr>
        <w:spacing w:line="360" w:lineRule="auto"/>
        <w:ind w:left="714" w:hanging="357"/>
        <w:rPr>
          <w:spacing w:val="20"/>
        </w:rPr>
      </w:pPr>
      <w:r w:rsidRPr="004A6C10">
        <w:rPr>
          <w:spacing w:val="20"/>
        </w:rPr>
        <w:t>Compréhensibles : par exemple, faire en sorte que les pages fonctionnent de manière prévisible ; aider l'utilisateur à corriger les erreurs de saisie.</w:t>
      </w:r>
    </w:p>
    <w:p w14:paraId="40BB44AE" w14:textId="0C46C6DD" w:rsidR="00624905" w:rsidRPr="004A6C10" w:rsidRDefault="00624905" w:rsidP="007B5D8B">
      <w:pPr>
        <w:pStyle w:val="Sansinterligne"/>
        <w:numPr>
          <w:ilvl w:val="0"/>
          <w:numId w:val="4"/>
        </w:numPr>
        <w:spacing w:line="360" w:lineRule="auto"/>
        <w:ind w:left="714" w:hanging="357"/>
        <w:rPr>
          <w:spacing w:val="20"/>
        </w:rPr>
      </w:pPr>
      <w:r w:rsidRPr="004A6C10">
        <w:rPr>
          <w:spacing w:val="20"/>
        </w:rPr>
        <w:t>Et robustes : par exemple, optimiser la compatibilité avec les utilisations actuelles et futures, y compris avec les technologies d'assistance.</w:t>
      </w:r>
    </w:p>
    <w:p w14:paraId="1247C682" w14:textId="338C00CF" w:rsidR="00D30D62" w:rsidRDefault="00D30D62" w:rsidP="00D30D62">
      <w:pPr>
        <w:pStyle w:val="Titre2"/>
      </w:pPr>
      <w:bookmarkStart w:id="2" w:name="_Toc195022530"/>
      <w:r>
        <w:t>Cadre législatif</w:t>
      </w:r>
      <w:bookmarkEnd w:id="2"/>
    </w:p>
    <w:p w14:paraId="522DE601" w14:textId="45DD8489" w:rsidR="00D30D62" w:rsidRPr="004A6C10" w:rsidRDefault="00D30D62" w:rsidP="007B5D8B">
      <w:pPr>
        <w:pStyle w:val="Sansinterligne"/>
        <w:spacing w:line="360" w:lineRule="auto"/>
        <w:rPr>
          <w:spacing w:val="20"/>
        </w:rPr>
      </w:pPr>
      <w:r w:rsidRPr="004A6C10">
        <w:rPr>
          <w:spacing w:val="20"/>
        </w:rPr>
        <w:t xml:space="preserve">L’article 47 de la loi n° 2005-102 du 11 février 2005 pour l’égalité des droits et des chances, la participation et la citoyenneté des personnes handicapées rend obligatoire à tout service de communication publique en ligne d’être accessible à </w:t>
      </w:r>
      <w:r w:rsidRPr="004A6C10">
        <w:rPr>
          <w:spacing w:val="20"/>
        </w:rPr>
        <w:lastRenderedPageBreak/>
        <w:t xml:space="preserve">tous. À ce titre, chaque service numérique doit publier une page qui annonce son niveau d’accessibilité ainsi que le schéma pluriannuel d’accessibilité décliné en plan d’actions annuel. </w:t>
      </w:r>
    </w:p>
    <w:p w14:paraId="746BC70D" w14:textId="77777777" w:rsidR="00D30D62" w:rsidRPr="004A6C10" w:rsidRDefault="00D30D62" w:rsidP="007B5D8B">
      <w:pPr>
        <w:pStyle w:val="Sansinterligne"/>
        <w:spacing w:line="360" w:lineRule="auto"/>
        <w:rPr>
          <w:spacing w:val="20"/>
        </w:rPr>
      </w:pPr>
      <w:r w:rsidRPr="004A6C10">
        <w:rPr>
          <w:spacing w:val="20"/>
        </w:rPr>
        <w:t>Le Décret du 24 juillet 2019 relatif à l’accessibilité aux personnes handicapées des services de communication au public en ligne précise le champ d’application de l’article 47 susmentionné. Il introduit l’obligation de réaliser un schéma pluriannuel de mise en accessibilité numérique pour :</w:t>
      </w:r>
    </w:p>
    <w:p w14:paraId="65C03D8C" w14:textId="30AFCE40" w:rsidR="00D30D62" w:rsidRPr="004A6C10" w:rsidRDefault="00D30D62" w:rsidP="007B5D8B">
      <w:pPr>
        <w:pStyle w:val="Sansinterligne"/>
        <w:numPr>
          <w:ilvl w:val="0"/>
          <w:numId w:val="5"/>
        </w:numPr>
        <w:spacing w:line="360" w:lineRule="auto"/>
        <w:rPr>
          <w:spacing w:val="20"/>
        </w:rPr>
      </w:pPr>
      <w:r w:rsidRPr="004A6C10">
        <w:rPr>
          <w:spacing w:val="20"/>
        </w:rPr>
        <w:t>Les communes et leurs regroupements (communautés de communes, d’agglomération, syndicats, etc.)</w:t>
      </w:r>
    </w:p>
    <w:p w14:paraId="1B061F92" w14:textId="6388425E" w:rsidR="00D30D62" w:rsidRPr="004A6C10" w:rsidRDefault="00D30D62" w:rsidP="007B5D8B">
      <w:pPr>
        <w:pStyle w:val="Sansinterligne"/>
        <w:numPr>
          <w:ilvl w:val="0"/>
          <w:numId w:val="5"/>
        </w:numPr>
        <w:spacing w:line="360" w:lineRule="auto"/>
        <w:rPr>
          <w:spacing w:val="20"/>
        </w:rPr>
      </w:pPr>
      <w:r w:rsidRPr="004A6C10">
        <w:rPr>
          <w:spacing w:val="20"/>
        </w:rPr>
        <w:t>Les délégataires d’une mission de service public</w:t>
      </w:r>
    </w:p>
    <w:p w14:paraId="54F5D33E" w14:textId="7D66F72C" w:rsidR="00D30D62" w:rsidRPr="004A6C10" w:rsidRDefault="00D30D62" w:rsidP="007B5D8B">
      <w:pPr>
        <w:pStyle w:val="Sansinterligne"/>
        <w:numPr>
          <w:ilvl w:val="0"/>
          <w:numId w:val="5"/>
        </w:numPr>
        <w:spacing w:line="360" w:lineRule="auto"/>
        <w:rPr>
          <w:spacing w:val="20"/>
        </w:rPr>
      </w:pPr>
      <w:r w:rsidRPr="004A6C10">
        <w:rPr>
          <w:spacing w:val="20"/>
        </w:rPr>
        <w:t>Les personnes morales de droit privé constituées par une ou plusieurs des personnes mentionnées précédemment pour satisfaire spécifiquement des besoins d’intérêt général ayant un caractère autre qu’industriel ou commercial (à l’instar des offices de tourisme selon leurs statuts)</w:t>
      </w:r>
    </w:p>
    <w:p w14:paraId="75B5DBFE" w14:textId="722549D1" w:rsidR="00D30D62" w:rsidRPr="004A6C10" w:rsidRDefault="00D30D62" w:rsidP="007B5D8B">
      <w:pPr>
        <w:pStyle w:val="Sansinterligne"/>
        <w:numPr>
          <w:ilvl w:val="0"/>
          <w:numId w:val="5"/>
        </w:numPr>
        <w:spacing w:line="360" w:lineRule="auto"/>
        <w:rPr>
          <w:spacing w:val="20"/>
        </w:rPr>
      </w:pPr>
      <w:r w:rsidRPr="004A6C10">
        <w:rPr>
          <w:spacing w:val="20"/>
        </w:rPr>
        <w:t>Les entreprises faisant un chiffre d’affaires supérieur à 250 millions d’euros</w:t>
      </w:r>
    </w:p>
    <w:p w14:paraId="5CC5A3BF" w14:textId="1B4AB1CF" w:rsidR="00D30D62" w:rsidRPr="004A6C10" w:rsidRDefault="00D30D62" w:rsidP="007B5D8B">
      <w:pPr>
        <w:pStyle w:val="Sansinterligne"/>
        <w:spacing w:line="360" w:lineRule="auto"/>
        <w:rPr>
          <w:spacing w:val="20"/>
        </w:rPr>
      </w:pPr>
      <w:r w:rsidRPr="004A6C10">
        <w:rPr>
          <w:spacing w:val="20"/>
        </w:rPr>
        <w:t xml:space="preserve">Ce même décret installe le Référentiel </w:t>
      </w:r>
      <w:r w:rsidR="00E45F21" w:rsidRPr="004A6C10">
        <w:rPr>
          <w:spacing w:val="20"/>
        </w:rPr>
        <w:t>G</w:t>
      </w:r>
      <w:r w:rsidRPr="004A6C10">
        <w:rPr>
          <w:spacing w:val="20"/>
        </w:rPr>
        <w:t>énéral d’</w:t>
      </w:r>
      <w:r w:rsidR="00E45F21" w:rsidRPr="004A6C10">
        <w:rPr>
          <w:spacing w:val="20"/>
        </w:rPr>
        <w:t>A</w:t>
      </w:r>
      <w:r w:rsidRPr="004A6C10">
        <w:rPr>
          <w:spacing w:val="20"/>
        </w:rPr>
        <w:t>mélioration de l’</w:t>
      </w:r>
      <w:r w:rsidR="00E45F21" w:rsidRPr="004A6C10">
        <w:rPr>
          <w:spacing w:val="20"/>
        </w:rPr>
        <w:t>A</w:t>
      </w:r>
      <w:r w:rsidRPr="004A6C10">
        <w:rPr>
          <w:spacing w:val="20"/>
        </w:rPr>
        <w:t>ccessibilité (RGAA) comme référentiel national, auquel doit se conformer tout support numérique.</w:t>
      </w:r>
    </w:p>
    <w:p w14:paraId="007B75AE" w14:textId="5046652F" w:rsidR="00E45F21" w:rsidRPr="004A6C10" w:rsidRDefault="00D30D62" w:rsidP="007B5D8B">
      <w:pPr>
        <w:pStyle w:val="Sansinterligne"/>
        <w:spacing w:line="360" w:lineRule="auto"/>
        <w:rPr>
          <w:spacing w:val="20"/>
        </w:rPr>
      </w:pPr>
      <w:r w:rsidRPr="004A6C10">
        <w:rPr>
          <w:spacing w:val="20"/>
        </w:rPr>
        <w:t xml:space="preserve">La version du RGAA en vigueur (RGAA 4) est accessible à partir du lien suivant : </w:t>
      </w:r>
      <w:hyperlink r:id="rId9" w:history="1">
        <w:r w:rsidR="00E45F21" w:rsidRPr="004A6C10">
          <w:rPr>
            <w:rStyle w:val="Lienhypertexte"/>
            <w:color w:val="auto"/>
            <w:spacing w:val="20"/>
            <w:u w:val="none"/>
          </w:rPr>
          <w:t>https://accessibilite.numerique.gouv.fr/</w:t>
        </w:r>
      </w:hyperlink>
    </w:p>
    <w:p w14:paraId="5DACAA68" w14:textId="5717A9DA" w:rsidR="00822A19" w:rsidRDefault="00822A19" w:rsidP="00822A19">
      <w:pPr>
        <w:pStyle w:val="Titre1"/>
      </w:pPr>
      <w:bookmarkStart w:id="3" w:name="_Toc195022531"/>
      <w:r>
        <w:t>Politique d’accessibilité numérique de la MDO</w:t>
      </w:r>
      <w:bookmarkEnd w:id="3"/>
    </w:p>
    <w:p w14:paraId="41DC0156" w14:textId="21E33CD1" w:rsidR="00464A92" w:rsidRPr="004A6C10" w:rsidRDefault="006C768E" w:rsidP="007B5D8B">
      <w:pPr>
        <w:pStyle w:val="Sansinterligne"/>
        <w:spacing w:line="360" w:lineRule="auto"/>
        <w:rPr>
          <w:spacing w:val="20"/>
        </w:rPr>
      </w:pPr>
      <w:r w:rsidRPr="004A6C10">
        <w:rPr>
          <w:spacing w:val="20"/>
        </w:rPr>
        <w:t>Dans le prolongement de son engagement pour les publics empêchés à travers ses collections adaptées</w:t>
      </w:r>
      <w:r w:rsidR="009C5AE8">
        <w:rPr>
          <w:spacing w:val="20"/>
        </w:rPr>
        <w:t xml:space="preserve"> et de la mise aux normes de ses magasins lors du réaménagement des </w:t>
      </w:r>
      <w:r w:rsidR="00EC2534">
        <w:rPr>
          <w:spacing w:val="20"/>
        </w:rPr>
        <w:t xml:space="preserve">locaux, </w:t>
      </w:r>
      <w:r w:rsidR="00EC2534" w:rsidRPr="004A6C10">
        <w:rPr>
          <w:spacing w:val="20"/>
        </w:rPr>
        <w:t>la</w:t>
      </w:r>
      <w:r w:rsidRPr="004A6C10">
        <w:rPr>
          <w:spacing w:val="20"/>
        </w:rPr>
        <w:t xml:space="preserve"> Médiathèque Départementale de l’Orne (MDO) souhaite offrir des </w:t>
      </w:r>
      <w:r w:rsidR="00244661" w:rsidRPr="004A6C10">
        <w:rPr>
          <w:spacing w:val="20"/>
        </w:rPr>
        <w:t>services</w:t>
      </w:r>
      <w:r w:rsidRPr="004A6C10">
        <w:rPr>
          <w:spacing w:val="20"/>
        </w:rPr>
        <w:t xml:space="preserve"> numériques accessibles aux utilisateurs de ses services en ligne.</w:t>
      </w:r>
    </w:p>
    <w:p w14:paraId="240AAB64" w14:textId="77777777" w:rsidR="00464A92" w:rsidRDefault="00464A92" w:rsidP="00464A92">
      <w:pPr>
        <w:pStyle w:val="Titre2"/>
      </w:pPr>
      <w:bookmarkStart w:id="4" w:name="_Toc195022532"/>
      <w:r>
        <w:t>Schéma pluriannuel d’accessibilité numérique</w:t>
      </w:r>
      <w:bookmarkEnd w:id="4"/>
    </w:p>
    <w:p w14:paraId="485DF1F2" w14:textId="17C7A227" w:rsidR="00464A92" w:rsidRPr="004A6C10" w:rsidRDefault="003E617D" w:rsidP="007B5D8B">
      <w:pPr>
        <w:pStyle w:val="Sansinterligne"/>
        <w:spacing w:line="360" w:lineRule="auto"/>
        <w:rPr>
          <w:spacing w:val="20"/>
        </w:rPr>
      </w:pPr>
      <w:r w:rsidRPr="004A6C10">
        <w:rPr>
          <w:spacing w:val="20"/>
        </w:rPr>
        <w:t>En application du III de l’article 47 précité, l</w:t>
      </w:r>
      <w:r w:rsidR="00464A92" w:rsidRPr="004A6C10">
        <w:rPr>
          <w:spacing w:val="20"/>
        </w:rPr>
        <w:t>e schéma pluriannuel d’une durée de 3 ans présente la politique de la MDO en matière d’accessibilité numérique. Il est associé à des plans annuels d’action dans l’objectif d’accompagner la mise en conformité RGAA (Référentiel Général d’Amélioration de l’Accessibilité) et l’amélioration progressive des sites web concernés.</w:t>
      </w:r>
    </w:p>
    <w:p w14:paraId="099F5C6C" w14:textId="35CB2696" w:rsidR="00822A19" w:rsidRDefault="00822A19" w:rsidP="00822A19">
      <w:pPr>
        <w:pStyle w:val="Titre1"/>
      </w:pPr>
      <w:bookmarkStart w:id="5" w:name="_Toc195022533"/>
      <w:r>
        <w:lastRenderedPageBreak/>
        <w:t>Organisation de la prise en compte de l’accessibilité numérique</w:t>
      </w:r>
      <w:bookmarkEnd w:id="5"/>
    </w:p>
    <w:p w14:paraId="1C1CA1E9" w14:textId="77777777" w:rsidR="00AA0727" w:rsidRPr="004A6C10" w:rsidRDefault="006C768E" w:rsidP="007B5D8B">
      <w:pPr>
        <w:pStyle w:val="Sansinterligne"/>
        <w:spacing w:line="360" w:lineRule="auto"/>
        <w:rPr>
          <w:spacing w:val="20"/>
        </w:rPr>
      </w:pPr>
      <w:r w:rsidRPr="004A6C10">
        <w:rPr>
          <w:spacing w:val="20"/>
        </w:rPr>
        <w:t>La mise en œuvre d’une politique d’accessibilité numérique implique</w:t>
      </w:r>
      <w:r w:rsidR="00AA0727" w:rsidRPr="004A6C10">
        <w:rPr>
          <w:spacing w:val="20"/>
        </w:rPr>
        <w:t xml:space="preserve"> : </w:t>
      </w:r>
    </w:p>
    <w:p w14:paraId="65B291AF" w14:textId="21E01633" w:rsidR="00AA0727" w:rsidRPr="004A6C10" w:rsidRDefault="00AA0727" w:rsidP="007B5D8B">
      <w:pPr>
        <w:pStyle w:val="Sansinterligne"/>
        <w:numPr>
          <w:ilvl w:val="0"/>
          <w:numId w:val="6"/>
        </w:numPr>
        <w:spacing w:line="360" w:lineRule="auto"/>
        <w:rPr>
          <w:spacing w:val="20"/>
        </w:rPr>
      </w:pPr>
      <w:r w:rsidRPr="004A6C10">
        <w:rPr>
          <w:spacing w:val="20"/>
        </w:rPr>
        <w:t>Un</w:t>
      </w:r>
      <w:r w:rsidR="006C768E" w:rsidRPr="004A6C10">
        <w:rPr>
          <w:spacing w:val="20"/>
        </w:rPr>
        <w:t xml:space="preserve"> accompagnement des personnels</w:t>
      </w:r>
      <w:r w:rsidR="001510E2" w:rsidRPr="004A6C10">
        <w:rPr>
          <w:spacing w:val="20"/>
        </w:rPr>
        <w:t xml:space="preserve"> par des actions de sensibilisation et de formation</w:t>
      </w:r>
    </w:p>
    <w:p w14:paraId="0DE81CB7" w14:textId="481CB385" w:rsidR="00157C53" w:rsidRPr="004A6C10" w:rsidRDefault="00AA0727" w:rsidP="007B5D8B">
      <w:pPr>
        <w:pStyle w:val="Sansinterligne"/>
        <w:numPr>
          <w:ilvl w:val="0"/>
          <w:numId w:val="6"/>
        </w:numPr>
        <w:spacing w:line="360" w:lineRule="auto"/>
        <w:rPr>
          <w:spacing w:val="20"/>
        </w:rPr>
      </w:pPr>
      <w:r w:rsidRPr="004A6C10">
        <w:rPr>
          <w:spacing w:val="20"/>
        </w:rPr>
        <w:t>La</w:t>
      </w:r>
      <w:r w:rsidR="006C768E" w:rsidRPr="004A6C10">
        <w:rPr>
          <w:spacing w:val="20"/>
        </w:rPr>
        <w:t xml:space="preserve"> prise en compte </w:t>
      </w:r>
      <w:r w:rsidR="00180C1B">
        <w:rPr>
          <w:spacing w:val="20"/>
        </w:rPr>
        <w:t>de ces compétences dans les profils des candidats lors</w:t>
      </w:r>
      <w:r w:rsidR="006C768E" w:rsidRPr="004A6C10">
        <w:rPr>
          <w:spacing w:val="20"/>
        </w:rPr>
        <w:t xml:space="preserve"> </w:t>
      </w:r>
      <w:r w:rsidR="00157C53" w:rsidRPr="004A6C10">
        <w:rPr>
          <w:spacing w:val="20"/>
        </w:rPr>
        <w:t>de recrutement</w:t>
      </w:r>
      <w:r w:rsidR="00F81E38">
        <w:rPr>
          <w:spacing w:val="20"/>
        </w:rPr>
        <w:t>s</w:t>
      </w:r>
      <w:bookmarkStart w:id="6" w:name="_GoBack"/>
      <w:bookmarkEnd w:id="6"/>
      <w:r w:rsidR="00157C53" w:rsidRPr="004A6C10">
        <w:rPr>
          <w:spacing w:val="20"/>
        </w:rPr>
        <w:t xml:space="preserve"> </w:t>
      </w:r>
    </w:p>
    <w:p w14:paraId="25C58D20" w14:textId="15D3A9CB" w:rsidR="00AA0727" w:rsidRPr="004A6C10" w:rsidRDefault="00157C53" w:rsidP="007B5D8B">
      <w:pPr>
        <w:pStyle w:val="Sansinterligne"/>
        <w:numPr>
          <w:ilvl w:val="0"/>
          <w:numId w:val="6"/>
        </w:numPr>
        <w:spacing w:line="360" w:lineRule="auto"/>
        <w:rPr>
          <w:spacing w:val="20"/>
        </w:rPr>
      </w:pPr>
      <w:r w:rsidRPr="004A6C10">
        <w:rPr>
          <w:spacing w:val="20"/>
        </w:rPr>
        <w:t>La prise en compte dans les procédures</w:t>
      </w:r>
      <w:r w:rsidR="00624905" w:rsidRPr="004A6C10">
        <w:rPr>
          <w:spacing w:val="20"/>
        </w:rPr>
        <w:t xml:space="preserve"> </w:t>
      </w:r>
      <w:r w:rsidRPr="004A6C10">
        <w:rPr>
          <w:spacing w:val="20"/>
        </w:rPr>
        <w:t>de marchés publics</w:t>
      </w:r>
    </w:p>
    <w:p w14:paraId="10B9DCE3" w14:textId="21C61D57" w:rsidR="00AA0727" w:rsidRPr="004A6C10" w:rsidRDefault="00AA0727" w:rsidP="007B5D8B">
      <w:pPr>
        <w:pStyle w:val="Sansinterligne"/>
        <w:numPr>
          <w:ilvl w:val="0"/>
          <w:numId w:val="6"/>
        </w:numPr>
        <w:spacing w:line="360" w:lineRule="auto"/>
        <w:rPr>
          <w:spacing w:val="20"/>
        </w:rPr>
      </w:pPr>
      <w:r w:rsidRPr="004A6C10">
        <w:rPr>
          <w:spacing w:val="20"/>
        </w:rPr>
        <w:t>La</w:t>
      </w:r>
      <w:r w:rsidR="00624905" w:rsidRPr="004A6C10">
        <w:rPr>
          <w:spacing w:val="20"/>
        </w:rPr>
        <w:t xml:space="preserve"> qualité du service rendu aux usagers en situation de handicap</w:t>
      </w:r>
    </w:p>
    <w:p w14:paraId="031014F4" w14:textId="77777777" w:rsidR="00896D1E" w:rsidRPr="004A6C10" w:rsidRDefault="00896D1E" w:rsidP="007B5D8B">
      <w:pPr>
        <w:pStyle w:val="Sansinterligne"/>
        <w:numPr>
          <w:ilvl w:val="0"/>
          <w:numId w:val="6"/>
        </w:numPr>
        <w:spacing w:line="360" w:lineRule="auto"/>
        <w:rPr>
          <w:spacing w:val="20"/>
        </w:rPr>
      </w:pPr>
      <w:r w:rsidRPr="004A6C10">
        <w:rPr>
          <w:spacing w:val="20"/>
        </w:rPr>
        <w:t>La prise en charge des demandes des usagers</w:t>
      </w:r>
    </w:p>
    <w:p w14:paraId="16CE5BAA" w14:textId="77777777" w:rsidR="009C5AE8" w:rsidRPr="004A6C10" w:rsidRDefault="009C5AE8" w:rsidP="009C5AE8">
      <w:pPr>
        <w:pStyle w:val="Sansinterligne"/>
        <w:numPr>
          <w:ilvl w:val="0"/>
          <w:numId w:val="6"/>
        </w:numPr>
        <w:spacing w:line="360" w:lineRule="auto"/>
        <w:rPr>
          <w:spacing w:val="20"/>
        </w:rPr>
      </w:pPr>
      <w:r w:rsidRPr="004A6C10">
        <w:rPr>
          <w:spacing w:val="20"/>
        </w:rPr>
        <w:t>Des mesures correctives pour traiter les contenus non accessibles</w:t>
      </w:r>
    </w:p>
    <w:p w14:paraId="6745AAE0" w14:textId="0E33CE41" w:rsidR="00AA0727" w:rsidRPr="004A6C10" w:rsidRDefault="00AA0727" w:rsidP="007B5D8B">
      <w:pPr>
        <w:pStyle w:val="Sansinterligne"/>
        <w:numPr>
          <w:ilvl w:val="0"/>
          <w:numId w:val="6"/>
        </w:numPr>
        <w:spacing w:line="360" w:lineRule="auto"/>
        <w:rPr>
          <w:spacing w:val="20"/>
        </w:rPr>
      </w:pPr>
      <w:r w:rsidRPr="004A6C10">
        <w:rPr>
          <w:spacing w:val="20"/>
        </w:rPr>
        <w:t>Des évaluations de conformité</w:t>
      </w:r>
    </w:p>
    <w:p w14:paraId="4B981D6B" w14:textId="15EA76B6" w:rsidR="00822A19" w:rsidRDefault="00822A19" w:rsidP="00822A19">
      <w:pPr>
        <w:pStyle w:val="Titre2"/>
      </w:pPr>
      <w:bookmarkStart w:id="7" w:name="_Toc195022534"/>
      <w:r>
        <w:t>Recours à des compétences externes</w:t>
      </w:r>
      <w:bookmarkEnd w:id="7"/>
    </w:p>
    <w:p w14:paraId="5ED8D797" w14:textId="3FC41276" w:rsidR="00822A19" w:rsidRPr="004A6C10" w:rsidRDefault="00AA0727" w:rsidP="007B5D8B">
      <w:pPr>
        <w:pStyle w:val="Sansinterligne"/>
        <w:spacing w:line="360" w:lineRule="auto"/>
        <w:rPr>
          <w:spacing w:val="20"/>
        </w:rPr>
      </w:pPr>
      <w:r w:rsidRPr="004A6C10">
        <w:rPr>
          <w:spacing w:val="20"/>
        </w:rPr>
        <w:t>Quand cela sera nécessaire, la MDO fera appel à des prestataires extérieurs pour la mise en œuvre de sa politique d’accessibilité.</w:t>
      </w:r>
    </w:p>
    <w:p w14:paraId="60050B96" w14:textId="77667F47" w:rsidR="00AA0727" w:rsidRPr="004A6C10" w:rsidRDefault="00AA0727" w:rsidP="007B5D8B">
      <w:pPr>
        <w:pStyle w:val="Sansinterligne"/>
        <w:spacing w:line="360" w:lineRule="auto"/>
        <w:rPr>
          <w:spacing w:val="20"/>
        </w:rPr>
      </w:pPr>
      <w:r w:rsidRPr="004A6C10">
        <w:rPr>
          <w:spacing w:val="20"/>
        </w:rPr>
        <w:t>Cela peut concerner des actions de sensibilisation et de formations, des actions d’audits des sites web concernés</w:t>
      </w:r>
      <w:r w:rsidR="00BC6052" w:rsidRPr="004A6C10">
        <w:rPr>
          <w:spacing w:val="20"/>
        </w:rPr>
        <w:t>, des actions de corrections sur les sites concernés</w:t>
      </w:r>
      <w:r w:rsidR="009C5AE8">
        <w:rPr>
          <w:spacing w:val="20"/>
        </w:rPr>
        <w:t xml:space="preserve">, </w:t>
      </w:r>
      <w:r w:rsidR="000E7E97">
        <w:rPr>
          <w:spacing w:val="20"/>
        </w:rPr>
        <w:t>d’acquisition d’outils complémentaires</w:t>
      </w:r>
      <w:r w:rsidR="009C5AE8">
        <w:rPr>
          <w:spacing w:val="20"/>
        </w:rPr>
        <w:t>…</w:t>
      </w:r>
    </w:p>
    <w:p w14:paraId="37A90B38" w14:textId="14637077" w:rsidR="00822A19" w:rsidRDefault="00822A19" w:rsidP="00822A19">
      <w:pPr>
        <w:pStyle w:val="Titre2"/>
      </w:pPr>
      <w:bookmarkStart w:id="8" w:name="_Toc195022535"/>
      <w:r>
        <w:t>Politique des ressources humaines</w:t>
      </w:r>
      <w:bookmarkEnd w:id="8"/>
    </w:p>
    <w:p w14:paraId="45DE4C43" w14:textId="48506DA8" w:rsidR="00822A19" w:rsidRDefault="00822A19" w:rsidP="00822A19">
      <w:pPr>
        <w:pStyle w:val="Titre3"/>
      </w:pPr>
      <w:bookmarkStart w:id="9" w:name="_Toc195022536"/>
      <w:r>
        <w:t>Formation des équipes internes</w:t>
      </w:r>
      <w:bookmarkEnd w:id="9"/>
    </w:p>
    <w:p w14:paraId="15172EC6" w14:textId="7AA978FC" w:rsidR="00822A19" w:rsidRPr="004A6C10" w:rsidRDefault="00A84C90" w:rsidP="007B5D8B">
      <w:pPr>
        <w:pStyle w:val="Sansinterligne"/>
        <w:spacing w:line="360" w:lineRule="auto"/>
        <w:rPr>
          <w:spacing w:val="20"/>
        </w:rPr>
      </w:pPr>
      <w:r w:rsidRPr="004A6C10">
        <w:rPr>
          <w:spacing w:val="20"/>
        </w:rPr>
        <w:t>Des actions de sensibilisation et de formation vont être organisées pour le personnel de la MDO. Ces actions s’adresseront en priorité aux membres du comité de publication. Elles permettront aux agents concernés d’acquérir une culture de la communication accessible et de mettre en ligne des contenus accessibles.</w:t>
      </w:r>
    </w:p>
    <w:p w14:paraId="508BA2A4" w14:textId="2C13F7D3" w:rsidR="00822A19" w:rsidRDefault="00822A19" w:rsidP="00822A19">
      <w:pPr>
        <w:pStyle w:val="Titre3"/>
      </w:pPr>
      <w:bookmarkStart w:id="10" w:name="_Toc195022537"/>
      <w:r>
        <w:t>Recrutement</w:t>
      </w:r>
      <w:bookmarkEnd w:id="10"/>
    </w:p>
    <w:p w14:paraId="50B7891D" w14:textId="34A28F9A" w:rsidR="00822A19" w:rsidRPr="004A6C10" w:rsidRDefault="00A84C90" w:rsidP="007B5D8B">
      <w:pPr>
        <w:pStyle w:val="Sansinterligne"/>
        <w:spacing w:line="360" w:lineRule="auto"/>
        <w:rPr>
          <w:spacing w:val="20"/>
        </w:rPr>
      </w:pPr>
      <w:r w:rsidRPr="004A6C10">
        <w:rPr>
          <w:spacing w:val="20"/>
        </w:rPr>
        <w:t>Lors des procédures de recrutement et notamment lors de la création des fiches de poste, une attention particulière sera portée sur les compétences en matière d’accessibilité numérique des personnels intervenant sur le champ du numérique.</w:t>
      </w:r>
    </w:p>
    <w:p w14:paraId="43BDF1B1" w14:textId="020E11CF" w:rsidR="00822A19" w:rsidRDefault="00822A19" w:rsidP="00822A19">
      <w:pPr>
        <w:pStyle w:val="Titre2"/>
      </w:pPr>
      <w:bookmarkStart w:id="11" w:name="_Toc195022538"/>
      <w:r>
        <w:t>Prise en compte de l’accessibilité numérique dans les procédures de marché</w:t>
      </w:r>
      <w:bookmarkEnd w:id="11"/>
    </w:p>
    <w:p w14:paraId="70CDE2AD" w14:textId="58228663" w:rsidR="00822A19" w:rsidRDefault="00F20684" w:rsidP="00F20684">
      <w:pPr>
        <w:pStyle w:val="Titre3"/>
      </w:pPr>
      <w:bookmarkStart w:id="12" w:name="_Toc195022539"/>
      <w:r>
        <w:t>Adaptation des procédures d’élaboration des marchés</w:t>
      </w:r>
      <w:bookmarkEnd w:id="12"/>
    </w:p>
    <w:p w14:paraId="6F6E572F" w14:textId="412A32DA" w:rsidR="00BC6052" w:rsidRPr="004A6C10" w:rsidRDefault="001E14C1" w:rsidP="007B5D8B">
      <w:pPr>
        <w:pStyle w:val="Sansinterligne"/>
        <w:spacing w:line="360" w:lineRule="auto"/>
        <w:rPr>
          <w:spacing w:val="20"/>
        </w:rPr>
      </w:pPr>
      <w:r w:rsidRPr="004A6C10">
        <w:rPr>
          <w:spacing w:val="20"/>
        </w:rPr>
        <w:t xml:space="preserve">L’accessibilité numérique </w:t>
      </w:r>
      <w:r w:rsidR="00BC6052" w:rsidRPr="004A6C10">
        <w:rPr>
          <w:spacing w:val="20"/>
        </w:rPr>
        <w:t>et la conformité au RGAA constitueront</w:t>
      </w:r>
      <w:r w:rsidRPr="004A6C10">
        <w:rPr>
          <w:spacing w:val="20"/>
        </w:rPr>
        <w:t xml:space="preserve"> une clause contraignante </w:t>
      </w:r>
      <w:r w:rsidR="00BC6052" w:rsidRPr="004A6C10">
        <w:rPr>
          <w:spacing w:val="20"/>
        </w:rPr>
        <w:t>lors de la commande de travaux et seront des critères de notation et sélection des prestataires lors des procédures de marchés.</w:t>
      </w:r>
    </w:p>
    <w:p w14:paraId="0AED99AF" w14:textId="45C79088" w:rsidR="00BC6052" w:rsidRPr="004A6C10" w:rsidRDefault="00BC6052" w:rsidP="007B5D8B">
      <w:pPr>
        <w:pStyle w:val="Sansinterligne"/>
        <w:spacing w:line="360" w:lineRule="auto"/>
        <w:rPr>
          <w:spacing w:val="20"/>
        </w:rPr>
      </w:pPr>
      <w:r w:rsidRPr="004A6C10">
        <w:rPr>
          <w:spacing w:val="20"/>
        </w:rPr>
        <w:lastRenderedPageBreak/>
        <w:t>Un travail sera mené pour décider dans quelles mesures il faudra faire évoluer les contrats en cours liés au numérique.</w:t>
      </w:r>
    </w:p>
    <w:p w14:paraId="70404F60" w14:textId="047F08B4" w:rsidR="00F20684" w:rsidRDefault="00F20684" w:rsidP="00F20684">
      <w:pPr>
        <w:pStyle w:val="Titre2"/>
      </w:pPr>
      <w:bookmarkStart w:id="13" w:name="_Toc195022540"/>
      <w:r>
        <w:t>Impact sur la politique des systèmes d’information et conduite de projets numériques</w:t>
      </w:r>
      <w:bookmarkEnd w:id="13"/>
    </w:p>
    <w:p w14:paraId="1E398353" w14:textId="139480C7" w:rsidR="007D7D98" w:rsidRDefault="007D7D98" w:rsidP="007D7D98">
      <w:pPr>
        <w:pStyle w:val="Titre3"/>
      </w:pPr>
      <w:bookmarkStart w:id="14" w:name="_Toc195022541"/>
      <w:r>
        <w:t>Mise en conformité des dispositifs numériques</w:t>
      </w:r>
      <w:bookmarkEnd w:id="14"/>
    </w:p>
    <w:p w14:paraId="3BA0FFC5" w14:textId="75611BF4" w:rsidR="00157C53" w:rsidRPr="004A6C10" w:rsidRDefault="00157C53" w:rsidP="007B5D8B">
      <w:pPr>
        <w:pStyle w:val="Sansinterligne"/>
        <w:spacing w:line="360" w:lineRule="auto"/>
        <w:rPr>
          <w:spacing w:val="20"/>
        </w:rPr>
      </w:pPr>
      <w:r w:rsidRPr="004A6C10">
        <w:rPr>
          <w:spacing w:val="20"/>
        </w:rPr>
        <w:t>Chaque site web fera l’objet d’une évaluation de conformité lors de sa mise en ligne. Cet audit sera effectué par un intervenant externe spécialisé.</w:t>
      </w:r>
    </w:p>
    <w:p w14:paraId="4A1BC3C3" w14:textId="1C77B904" w:rsidR="00157C53" w:rsidRPr="004A6C10" w:rsidRDefault="00157C53" w:rsidP="007B5D8B">
      <w:pPr>
        <w:pStyle w:val="Sansinterligne"/>
        <w:spacing w:line="360" w:lineRule="auto"/>
        <w:rPr>
          <w:spacing w:val="20"/>
        </w:rPr>
      </w:pPr>
      <w:r w:rsidRPr="004A6C10">
        <w:rPr>
          <w:spacing w:val="20"/>
        </w:rPr>
        <w:t>Des mesures correctives seront prises pour traiter les contenus non accessibles selon un calendrier annuel réparti sur 3 ans.</w:t>
      </w:r>
    </w:p>
    <w:p w14:paraId="2BAE3799" w14:textId="1865E4D6" w:rsidR="007D7D98" w:rsidRDefault="007D7D98" w:rsidP="007D7D98">
      <w:pPr>
        <w:pStyle w:val="Titre2"/>
      </w:pPr>
      <w:bookmarkStart w:id="15" w:name="_Toc195022542"/>
      <w:r>
        <w:t>Relation usagers de l’accessibilité numérique</w:t>
      </w:r>
      <w:bookmarkEnd w:id="15"/>
    </w:p>
    <w:p w14:paraId="4FDB968C" w14:textId="4929CC72" w:rsidR="007D7D98" w:rsidRDefault="007D7D98" w:rsidP="007D7D98">
      <w:pPr>
        <w:pStyle w:val="Titre3"/>
      </w:pPr>
      <w:bookmarkStart w:id="16" w:name="_Toc195022543"/>
      <w:r>
        <w:t>Traitement des retours utilisateurs</w:t>
      </w:r>
      <w:bookmarkEnd w:id="16"/>
    </w:p>
    <w:p w14:paraId="6395040F" w14:textId="5F584EAA" w:rsidR="007D7D98" w:rsidRPr="004A6C10" w:rsidRDefault="00157C53" w:rsidP="007B5D8B">
      <w:pPr>
        <w:pStyle w:val="Sansinterligne"/>
        <w:spacing w:line="360" w:lineRule="auto"/>
        <w:rPr>
          <w:spacing w:val="20"/>
        </w:rPr>
      </w:pPr>
      <w:r w:rsidRPr="004A6C10">
        <w:rPr>
          <w:spacing w:val="20"/>
        </w:rPr>
        <w:t>Conformément aux dispositions prévues par le RGAA et pour répondre aux attentes des utilisateurs, un moyen de contact est mis en place sur les sites web, permettant à chaque utilisateur en situation de handicap de signaler ses difficultés.</w:t>
      </w:r>
    </w:p>
    <w:p w14:paraId="5F40AA67" w14:textId="5A8E7EC1" w:rsidR="007D7D98" w:rsidRDefault="007D7D98" w:rsidP="007D7D98">
      <w:pPr>
        <w:pStyle w:val="Titre2"/>
      </w:pPr>
      <w:bookmarkStart w:id="17" w:name="_Toc195022544"/>
      <w:r>
        <w:t>Périmètre technique et fonctionnel</w:t>
      </w:r>
      <w:bookmarkEnd w:id="17"/>
    </w:p>
    <w:p w14:paraId="5A77619E" w14:textId="00F12145" w:rsidR="007D7D98" w:rsidRPr="004A6C10" w:rsidRDefault="00D30D62" w:rsidP="007B5D8B">
      <w:pPr>
        <w:pStyle w:val="Sansinterligne"/>
        <w:spacing w:line="360" w:lineRule="auto"/>
        <w:rPr>
          <w:spacing w:val="20"/>
        </w:rPr>
      </w:pPr>
      <w:r w:rsidRPr="004A6C10">
        <w:rPr>
          <w:spacing w:val="20"/>
        </w:rPr>
        <w:t>En 2025, la Médiathèque Départementale de l’Orne gère le site internet : https://mdo.orne.fr/</w:t>
      </w:r>
    </w:p>
    <w:p w14:paraId="6D7AE14B" w14:textId="7DBE9A39" w:rsidR="007D7D98" w:rsidRDefault="007D7D98" w:rsidP="007D7D98">
      <w:pPr>
        <w:pStyle w:val="Titre3"/>
      </w:pPr>
      <w:bookmarkStart w:id="18" w:name="_Toc195022545"/>
      <w:r>
        <w:t>Évaluation</w:t>
      </w:r>
      <w:bookmarkEnd w:id="18"/>
    </w:p>
    <w:p w14:paraId="6EBA6CCF" w14:textId="6BBD42C8" w:rsidR="007D7D98" w:rsidRPr="004A6C10" w:rsidRDefault="00D30D62" w:rsidP="007B5D8B">
      <w:pPr>
        <w:pStyle w:val="Sansinterligne"/>
        <w:spacing w:line="360" w:lineRule="auto"/>
        <w:rPr>
          <w:spacing w:val="20"/>
        </w:rPr>
      </w:pPr>
      <w:r w:rsidRPr="004A6C10">
        <w:rPr>
          <w:spacing w:val="20"/>
        </w:rPr>
        <w:t>Un audit de ce site a été réalisé le 23 janvier 2025 révélant un taux de non-conformité de 33.33%</w:t>
      </w:r>
      <w:r w:rsidR="00BE60C1" w:rsidRPr="004A6C10">
        <w:rPr>
          <w:spacing w:val="20"/>
        </w:rPr>
        <w:t>. Des actions d’amélioration de la conformité vont être mises en place grâce à des plans d’actions annuels sur 3 ans.</w:t>
      </w:r>
    </w:p>
    <w:p w14:paraId="43FA35E4" w14:textId="3A87A021" w:rsidR="007D7D98" w:rsidRDefault="007D7D98" w:rsidP="006B4D88">
      <w:pPr>
        <w:pStyle w:val="Titre3"/>
        <w:keepNext w:val="0"/>
        <w:keepLines w:val="0"/>
        <w:spacing w:before="0" w:after="160" w:line="360" w:lineRule="auto"/>
      </w:pPr>
      <w:bookmarkStart w:id="19" w:name="_Toc195022546"/>
      <w:r>
        <w:t>Plans annuels</w:t>
      </w:r>
      <w:bookmarkEnd w:id="19"/>
    </w:p>
    <w:p w14:paraId="0016D9C6" w14:textId="5A289ADE" w:rsidR="007D7D98" w:rsidRPr="004A6C10" w:rsidRDefault="00BE60C1" w:rsidP="007B5D8B">
      <w:pPr>
        <w:pStyle w:val="Sansinterligne"/>
        <w:spacing w:line="360" w:lineRule="auto"/>
        <w:rPr>
          <w:spacing w:val="20"/>
        </w:rPr>
      </w:pPr>
      <w:r w:rsidRPr="004A6C10">
        <w:rPr>
          <w:spacing w:val="20"/>
        </w:rPr>
        <w:t>Les plans annuels décrivent les actions mises en œuvre pour prendre en charge l’ensemble des besoins en matière d’accessibilité numérique de la MDO.</w:t>
      </w:r>
    </w:p>
    <w:tbl>
      <w:tblPr>
        <w:tblStyle w:val="Grilledutableau"/>
        <w:tblW w:w="0" w:type="auto"/>
        <w:tblLook w:val="04A0" w:firstRow="1" w:lastRow="0" w:firstColumn="1" w:lastColumn="0" w:noHBand="0" w:noVBand="1"/>
      </w:tblPr>
      <w:tblGrid>
        <w:gridCol w:w="3020"/>
        <w:gridCol w:w="3021"/>
        <w:gridCol w:w="3021"/>
      </w:tblGrid>
      <w:tr w:rsidR="00BE60C1" w:rsidRPr="004A6C10" w14:paraId="20E7645D" w14:textId="77777777" w:rsidTr="00BE60C1">
        <w:tc>
          <w:tcPr>
            <w:tcW w:w="3020" w:type="dxa"/>
          </w:tcPr>
          <w:p w14:paraId="0329EA0D" w14:textId="5FFEFC60" w:rsidR="00BE60C1" w:rsidRPr="004A6C10" w:rsidRDefault="00BE60C1" w:rsidP="007B5D8B">
            <w:pPr>
              <w:pStyle w:val="Sansinterligne"/>
              <w:spacing w:line="360" w:lineRule="auto"/>
              <w:rPr>
                <w:spacing w:val="20"/>
              </w:rPr>
            </w:pPr>
            <w:r w:rsidRPr="004A6C10">
              <w:rPr>
                <w:spacing w:val="20"/>
              </w:rPr>
              <w:t>Nom</w:t>
            </w:r>
          </w:p>
        </w:tc>
        <w:tc>
          <w:tcPr>
            <w:tcW w:w="3021" w:type="dxa"/>
          </w:tcPr>
          <w:p w14:paraId="7A0496D0" w14:textId="77A4FA26" w:rsidR="00BE60C1" w:rsidRPr="004A6C10" w:rsidRDefault="00283B36" w:rsidP="007B5D8B">
            <w:pPr>
              <w:pStyle w:val="Sansinterligne"/>
              <w:spacing w:line="360" w:lineRule="auto"/>
              <w:rPr>
                <w:spacing w:val="20"/>
              </w:rPr>
            </w:pPr>
            <w:r w:rsidRPr="004A6C10">
              <w:rPr>
                <w:spacing w:val="20"/>
              </w:rPr>
              <w:t>Lien de c</w:t>
            </w:r>
            <w:r w:rsidR="00BE60C1" w:rsidRPr="004A6C10">
              <w:rPr>
                <w:spacing w:val="20"/>
              </w:rPr>
              <w:t>onsultation</w:t>
            </w:r>
          </w:p>
        </w:tc>
        <w:tc>
          <w:tcPr>
            <w:tcW w:w="3021" w:type="dxa"/>
          </w:tcPr>
          <w:p w14:paraId="1D1A9C35" w14:textId="295D6A22" w:rsidR="00BE60C1" w:rsidRPr="004A6C10" w:rsidRDefault="00BE60C1" w:rsidP="007B5D8B">
            <w:pPr>
              <w:pStyle w:val="Sansinterligne"/>
              <w:spacing w:line="360" w:lineRule="auto"/>
              <w:rPr>
                <w:spacing w:val="20"/>
              </w:rPr>
            </w:pPr>
            <w:r w:rsidRPr="004A6C10">
              <w:rPr>
                <w:spacing w:val="20"/>
              </w:rPr>
              <w:t>Dernière mise à jour</w:t>
            </w:r>
          </w:p>
        </w:tc>
      </w:tr>
      <w:tr w:rsidR="00BE60C1" w:rsidRPr="004A6C10" w14:paraId="2CFD09EE" w14:textId="77777777" w:rsidTr="00BE60C1">
        <w:tc>
          <w:tcPr>
            <w:tcW w:w="3020" w:type="dxa"/>
          </w:tcPr>
          <w:p w14:paraId="09B8E7BC" w14:textId="7208BA36" w:rsidR="00BE60C1" w:rsidRPr="004A6C10" w:rsidRDefault="00BE60C1" w:rsidP="007B5D8B">
            <w:pPr>
              <w:pStyle w:val="Sansinterligne"/>
              <w:spacing w:line="360" w:lineRule="auto"/>
              <w:rPr>
                <w:spacing w:val="20"/>
              </w:rPr>
            </w:pPr>
            <w:r w:rsidRPr="004A6C10">
              <w:rPr>
                <w:spacing w:val="20"/>
              </w:rPr>
              <w:t>Plan annuel 2025</w:t>
            </w:r>
          </w:p>
        </w:tc>
        <w:tc>
          <w:tcPr>
            <w:tcW w:w="3021" w:type="dxa"/>
          </w:tcPr>
          <w:p w14:paraId="159ECC6D" w14:textId="5704C201" w:rsidR="0029704D" w:rsidRPr="004A6C10" w:rsidRDefault="00016BE1" w:rsidP="007B5D8B">
            <w:pPr>
              <w:pStyle w:val="Sansinterligne"/>
              <w:spacing w:line="360" w:lineRule="auto"/>
              <w:rPr>
                <w:spacing w:val="20"/>
              </w:rPr>
            </w:pPr>
            <w:hyperlink r:id="rId10" w:history="1">
              <w:r w:rsidR="0029704D" w:rsidRPr="006E24AD">
                <w:rPr>
                  <w:rStyle w:val="Lienhypertexte"/>
                  <w:spacing w:val="20"/>
                </w:rPr>
                <w:t>https://mdo.orne.fr/</w:t>
              </w:r>
            </w:hyperlink>
          </w:p>
        </w:tc>
        <w:tc>
          <w:tcPr>
            <w:tcW w:w="3021" w:type="dxa"/>
          </w:tcPr>
          <w:p w14:paraId="08151CC3" w14:textId="22B82BD2" w:rsidR="00BE60C1" w:rsidRPr="004A6C10" w:rsidRDefault="00E864E5" w:rsidP="007B5D8B">
            <w:pPr>
              <w:pStyle w:val="Sansinterligne"/>
              <w:spacing w:line="360" w:lineRule="auto"/>
              <w:rPr>
                <w:spacing w:val="20"/>
              </w:rPr>
            </w:pPr>
            <w:r>
              <w:rPr>
                <w:spacing w:val="20"/>
              </w:rPr>
              <w:t>08 avril 2025</w:t>
            </w:r>
          </w:p>
        </w:tc>
      </w:tr>
      <w:tr w:rsidR="00BE60C1" w:rsidRPr="004A6C10" w14:paraId="01BC4FFA" w14:textId="77777777" w:rsidTr="00BE60C1">
        <w:tc>
          <w:tcPr>
            <w:tcW w:w="3020" w:type="dxa"/>
          </w:tcPr>
          <w:p w14:paraId="0272C5EF" w14:textId="67C9856C" w:rsidR="00BE60C1" w:rsidRPr="004A6C10" w:rsidRDefault="00BE60C1" w:rsidP="007B5D8B">
            <w:pPr>
              <w:pStyle w:val="Sansinterligne"/>
              <w:spacing w:line="360" w:lineRule="auto"/>
              <w:rPr>
                <w:spacing w:val="20"/>
              </w:rPr>
            </w:pPr>
            <w:r w:rsidRPr="004A6C10">
              <w:rPr>
                <w:spacing w:val="20"/>
              </w:rPr>
              <w:t>Plan annuel 2026</w:t>
            </w:r>
          </w:p>
        </w:tc>
        <w:tc>
          <w:tcPr>
            <w:tcW w:w="3021" w:type="dxa"/>
          </w:tcPr>
          <w:p w14:paraId="08200678" w14:textId="77777777" w:rsidR="00BE60C1" w:rsidRPr="004A6C10" w:rsidRDefault="00BE60C1" w:rsidP="007B5D8B">
            <w:pPr>
              <w:pStyle w:val="Sansinterligne"/>
              <w:spacing w:line="360" w:lineRule="auto"/>
              <w:rPr>
                <w:spacing w:val="20"/>
              </w:rPr>
            </w:pPr>
          </w:p>
        </w:tc>
        <w:tc>
          <w:tcPr>
            <w:tcW w:w="3021" w:type="dxa"/>
          </w:tcPr>
          <w:p w14:paraId="4FA4D641" w14:textId="46B41412" w:rsidR="00BE60C1" w:rsidRPr="004A6C10" w:rsidRDefault="00E864E5" w:rsidP="007B5D8B">
            <w:pPr>
              <w:pStyle w:val="Sansinterligne"/>
              <w:spacing w:line="360" w:lineRule="auto"/>
              <w:rPr>
                <w:spacing w:val="20"/>
              </w:rPr>
            </w:pPr>
            <w:r>
              <w:rPr>
                <w:spacing w:val="20"/>
              </w:rPr>
              <w:t>À venir</w:t>
            </w:r>
          </w:p>
        </w:tc>
      </w:tr>
      <w:tr w:rsidR="00BE60C1" w:rsidRPr="004A6C10" w14:paraId="677C13C3" w14:textId="77777777" w:rsidTr="00BE60C1">
        <w:tc>
          <w:tcPr>
            <w:tcW w:w="3020" w:type="dxa"/>
          </w:tcPr>
          <w:p w14:paraId="3054E23E" w14:textId="54CB77F3" w:rsidR="00BE60C1" w:rsidRPr="004A6C10" w:rsidRDefault="00BE60C1" w:rsidP="007B5D8B">
            <w:pPr>
              <w:pStyle w:val="Sansinterligne"/>
              <w:spacing w:line="360" w:lineRule="auto"/>
              <w:rPr>
                <w:spacing w:val="20"/>
              </w:rPr>
            </w:pPr>
            <w:r w:rsidRPr="004A6C10">
              <w:rPr>
                <w:spacing w:val="20"/>
              </w:rPr>
              <w:t>Plan annuel 2027</w:t>
            </w:r>
          </w:p>
        </w:tc>
        <w:tc>
          <w:tcPr>
            <w:tcW w:w="3021" w:type="dxa"/>
          </w:tcPr>
          <w:p w14:paraId="437835C0" w14:textId="77777777" w:rsidR="00BE60C1" w:rsidRPr="004A6C10" w:rsidRDefault="00BE60C1" w:rsidP="007B5D8B">
            <w:pPr>
              <w:pStyle w:val="Sansinterligne"/>
              <w:spacing w:line="360" w:lineRule="auto"/>
              <w:rPr>
                <w:spacing w:val="20"/>
              </w:rPr>
            </w:pPr>
          </w:p>
        </w:tc>
        <w:tc>
          <w:tcPr>
            <w:tcW w:w="3021" w:type="dxa"/>
          </w:tcPr>
          <w:p w14:paraId="75B2CD54" w14:textId="79EA306F" w:rsidR="00BE60C1" w:rsidRPr="004A6C10" w:rsidRDefault="00E864E5" w:rsidP="007B5D8B">
            <w:pPr>
              <w:pStyle w:val="Sansinterligne"/>
              <w:spacing w:line="360" w:lineRule="auto"/>
              <w:rPr>
                <w:spacing w:val="20"/>
              </w:rPr>
            </w:pPr>
            <w:r>
              <w:rPr>
                <w:spacing w:val="20"/>
              </w:rPr>
              <w:t>À venir</w:t>
            </w:r>
          </w:p>
        </w:tc>
      </w:tr>
    </w:tbl>
    <w:p w14:paraId="62CA167B" w14:textId="77777777" w:rsidR="00BE60C1" w:rsidRDefault="00BE60C1"/>
    <w:sectPr w:rsidR="00BE60C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CF2B2" w14:textId="77777777" w:rsidR="000E7E97" w:rsidRDefault="000E7E97" w:rsidP="00F20684">
      <w:pPr>
        <w:spacing w:after="0" w:line="240" w:lineRule="auto"/>
      </w:pPr>
      <w:r>
        <w:separator/>
      </w:r>
    </w:p>
  </w:endnote>
  <w:endnote w:type="continuationSeparator" w:id="0">
    <w:p w14:paraId="11077C98" w14:textId="77777777" w:rsidR="000E7E97" w:rsidRDefault="000E7E97" w:rsidP="00F2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96B1" w14:textId="77777777" w:rsidR="000E7E97" w:rsidRDefault="000E7E97">
    <w:pPr>
      <w:tabs>
        <w:tab w:val="center" w:pos="4550"/>
        <w:tab w:val="left" w:pos="5818"/>
      </w:tabs>
      <w:ind w:right="260"/>
      <w:jc w:val="right"/>
      <w:rPr>
        <w:color w:val="222A35" w:themeColor="text2" w:themeShade="80"/>
        <w:sz w:val="24"/>
        <w:szCs w:val="24"/>
      </w:rPr>
    </w:pPr>
    <w:r w:rsidRPr="00A8315E">
      <w:rPr>
        <w:color w:val="44546A" w:themeColor="text2"/>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1963EB16" w14:textId="7557851D" w:rsidR="000E7E97" w:rsidRDefault="000E7E97">
    <w:pPr>
      <w:pStyle w:val="Pieddepage"/>
    </w:pPr>
    <w:r>
      <w:t>Schéma pluriannuel d’accessibilité numérique 2025-2027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DC18E" w14:textId="77777777" w:rsidR="000E7E97" w:rsidRDefault="000E7E97" w:rsidP="00F20684">
      <w:pPr>
        <w:spacing w:after="0" w:line="240" w:lineRule="auto"/>
      </w:pPr>
      <w:r>
        <w:separator/>
      </w:r>
    </w:p>
  </w:footnote>
  <w:footnote w:type="continuationSeparator" w:id="0">
    <w:p w14:paraId="354FD6CF" w14:textId="77777777" w:rsidR="000E7E97" w:rsidRDefault="000E7E97" w:rsidP="00F20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F30D3"/>
    <w:multiLevelType w:val="hybridMultilevel"/>
    <w:tmpl w:val="BA305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05075B"/>
    <w:multiLevelType w:val="hybridMultilevel"/>
    <w:tmpl w:val="82CA0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0A381C"/>
    <w:multiLevelType w:val="hybridMultilevel"/>
    <w:tmpl w:val="A9C44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720BDA"/>
    <w:multiLevelType w:val="hybridMultilevel"/>
    <w:tmpl w:val="A6360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405F9A"/>
    <w:multiLevelType w:val="hybridMultilevel"/>
    <w:tmpl w:val="D8A60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D53BDE"/>
    <w:multiLevelType w:val="hybridMultilevel"/>
    <w:tmpl w:val="EC841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00"/>
    <w:rsid w:val="00016BE1"/>
    <w:rsid w:val="000E7E97"/>
    <w:rsid w:val="00113619"/>
    <w:rsid w:val="001510E2"/>
    <w:rsid w:val="00154232"/>
    <w:rsid w:val="00157C53"/>
    <w:rsid w:val="00180C1B"/>
    <w:rsid w:val="001B77F3"/>
    <w:rsid w:val="001E14C1"/>
    <w:rsid w:val="002074B2"/>
    <w:rsid w:val="00230085"/>
    <w:rsid w:val="0024349B"/>
    <w:rsid w:val="00244661"/>
    <w:rsid w:val="00283B36"/>
    <w:rsid w:val="0029704D"/>
    <w:rsid w:val="002C4488"/>
    <w:rsid w:val="003E617D"/>
    <w:rsid w:val="00464A92"/>
    <w:rsid w:val="00473432"/>
    <w:rsid w:val="004A6C10"/>
    <w:rsid w:val="00506330"/>
    <w:rsid w:val="00594900"/>
    <w:rsid w:val="00624905"/>
    <w:rsid w:val="006B4D88"/>
    <w:rsid w:val="006C768E"/>
    <w:rsid w:val="0078360E"/>
    <w:rsid w:val="0079232A"/>
    <w:rsid w:val="007A1E39"/>
    <w:rsid w:val="007B5D8B"/>
    <w:rsid w:val="007D7D98"/>
    <w:rsid w:val="00822A19"/>
    <w:rsid w:val="00896D1E"/>
    <w:rsid w:val="009A0D55"/>
    <w:rsid w:val="009C5AE8"/>
    <w:rsid w:val="00A8315E"/>
    <w:rsid w:val="00A84C90"/>
    <w:rsid w:val="00AA0727"/>
    <w:rsid w:val="00AD319A"/>
    <w:rsid w:val="00BC6052"/>
    <w:rsid w:val="00BE60C1"/>
    <w:rsid w:val="00BF0678"/>
    <w:rsid w:val="00C266BD"/>
    <w:rsid w:val="00CE2E50"/>
    <w:rsid w:val="00D30D62"/>
    <w:rsid w:val="00E40736"/>
    <w:rsid w:val="00E426A7"/>
    <w:rsid w:val="00E45F21"/>
    <w:rsid w:val="00E864E5"/>
    <w:rsid w:val="00EC2534"/>
    <w:rsid w:val="00F20684"/>
    <w:rsid w:val="00F81E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BFA0"/>
  <w15:chartTrackingRefBased/>
  <w15:docId w15:val="{17D378B3-759F-424F-AAA8-C1FC858C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4D88"/>
    <w:pPr>
      <w:keepNext/>
      <w:keepLines/>
      <w:spacing w:before="240" w:after="0"/>
      <w:outlineLvl w:val="0"/>
    </w:pPr>
    <w:rPr>
      <w:rFonts w:asciiTheme="majorHAnsi" w:eastAsiaTheme="majorEastAsia" w:hAnsiTheme="majorHAnsi" w:cstheme="majorBidi"/>
      <w:color w:val="2F5496" w:themeColor="accent1" w:themeShade="BF"/>
      <w:spacing w:val="20"/>
      <w:sz w:val="32"/>
      <w:szCs w:val="32"/>
    </w:rPr>
  </w:style>
  <w:style w:type="paragraph" w:styleId="Titre2">
    <w:name w:val="heading 2"/>
    <w:basedOn w:val="Normal"/>
    <w:next w:val="Normal"/>
    <w:link w:val="Titre2Car"/>
    <w:uiPriority w:val="9"/>
    <w:unhideWhenUsed/>
    <w:qFormat/>
    <w:rsid w:val="006B4D88"/>
    <w:pPr>
      <w:keepNext/>
      <w:keepLines/>
      <w:spacing w:before="40" w:after="0"/>
      <w:outlineLvl w:val="1"/>
    </w:pPr>
    <w:rPr>
      <w:rFonts w:asciiTheme="majorHAnsi" w:eastAsiaTheme="majorEastAsia" w:hAnsiTheme="majorHAnsi" w:cstheme="majorBidi"/>
      <w:color w:val="2F5496" w:themeColor="accent1" w:themeShade="BF"/>
      <w:spacing w:val="20"/>
      <w:sz w:val="26"/>
      <w:szCs w:val="26"/>
    </w:rPr>
  </w:style>
  <w:style w:type="paragraph" w:styleId="Titre3">
    <w:name w:val="heading 3"/>
    <w:basedOn w:val="Normal"/>
    <w:next w:val="Normal"/>
    <w:link w:val="Titre3Car"/>
    <w:uiPriority w:val="9"/>
    <w:unhideWhenUsed/>
    <w:qFormat/>
    <w:rsid w:val="006B4D88"/>
    <w:pPr>
      <w:keepNext/>
      <w:keepLines/>
      <w:spacing w:before="40" w:after="0"/>
      <w:outlineLvl w:val="2"/>
    </w:pPr>
    <w:rPr>
      <w:rFonts w:asciiTheme="majorHAnsi" w:eastAsiaTheme="majorEastAsia" w:hAnsiTheme="majorHAnsi" w:cstheme="majorBidi"/>
      <w:color w:val="1F3763" w:themeColor="accent1" w:themeShade="7F"/>
      <w:spacing w:val="2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4D88"/>
    <w:rPr>
      <w:rFonts w:asciiTheme="majorHAnsi" w:eastAsiaTheme="majorEastAsia" w:hAnsiTheme="majorHAnsi" w:cstheme="majorBidi"/>
      <w:color w:val="2F5496" w:themeColor="accent1" w:themeShade="BF"/>
      <w:spacing w:val="20"/>
      <w:sz w:val="32"/>
      <w:szCs w:val="32"/>
    </w:rPr>
  </w:style>
  <w:style w:type="character" w:customStyle="1" w:styleId="Titre2Car">
    <w:name w:val="Titre 2 Car"/>
    <w:basedOn w:val="Policepardfaut"/>
    <w:link w:val="Titre2"/>
    <w:uiPriority w:val="9"/>
    <w:rsid w:val="006B4D88"/>
    <w:rPr>
      <w:rFonts w:asciiTheme="majorHAnsi" w:eastAsiaTheme="majorEastAsia" w:hAnsiTheme="majorHAnsi" w:cstheme="majorBidi"/>
      <w:color w:val="2F5496" w:themeColor="accent1" w:themeShade="BF"/>
      <w:spacing w:val="20"/>
      <w:sz w:val="26"/>
      <w:szCs w:val="26"/>
    </w:rPr>
  </w:style>
  <w:style w:type="character" w:customStyle="1" w:styleId="Titre3Car">
    <w:name w:val="Titre 3 Car"/>
    <w:basedOn w:val="Policepardfaut"/>
    <w:link w:val="Titre3"/>
    <w:uiPriority w:val="9"/>
    <w:rsid w:val="006B4D88"/>
    <w:rPr>
      <w:rFonts w:asciiTheme="majorHAnsi" w:eastAsiaTheme="majorEastAsia" w:hAnsiTheme="majorHAnsi" w:cstheme="majorBidi"/>
      <w:color w:val="1F3763" w:themeColor="accent1" w:themeShade="7F"/>
      <w:spacing w:val="20"/>
      <w:sz w:val="24"/>
      <w:szCs w:val="24"/>
    </w:rPr>
  </w:style>
  <w:style w:type="paragraph" w:styleId="En-tte">
    <w:name w:val="header"/>
    <w:basedOn w:val="Normal"/>
    <w:link w:val="En-tteCar"/>
    <w:uiPriority w:val="99"/>
    <w:unhideWhenUsed/>
    <w:rsid w:val="00F20684"/>
    <w:pPr>
      <w:tabs>
        <w:tab w:val="center" w:pos="4536"/>
        <w:tab w:val="right" w:pos="9072"/>
      </w:tabs>
      <w:spacing w:after="0" w:line="240" w:lineRule="auto"/>
    </w:pPr>
  </w:style>
  <w:style w:type="character" w:customStyle="1" w:styleId="En-tteCar">
    <w:name w:val="En-tête Car"/>
    <w:basedOn w:val="Policepardfaut"/>
    <w:link w:val="En-tte"/>
    <w:uiPriority w:val="99"/>
    <w:rsid w:val="00F20684"/>
  </w:style>
  <w:style w:type="paragraph" w:styleId="Pieddepage">
    <w:name w:val="footer"/>
    <w:basedOn w:val="Normal"/>
    <w:link w:val="PieddepageCar"/>
    <w:uiPriority w:val="99"/>
    <w:unhideWhenUsed/>
    <w:rsid w:val="00F206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0684"/>
  </w:style>
  <w:style w:type="paragraph" w:styleId="Sansinterligne">
    <w:name w:val="No Spacing"/>
    <w:uiPriority w:val="1"/>
    <w:qFormat/>
    <w:rsid w:val="00F20684"/>
    <w:pPr>
      <w:spacing w:after="0" w:line="240" w:lineRule="auto"/>
    </w:pPr>
  </w:style>
  <w:style w:type="paragraph" w:styleId="Paragraphedeliste">
    <w:name w:val="List Paragraph"/>
    <w:basedOn w:val="Normal"/>
    <w:uiPriority w:val="34"/>
    <w:qFormat/>
    <w:rsid w:val="00624905"/>
    <w:pPr>
      <w:ind w:left="720"/>
      <w:contextualSpacing/>
    </w:pPr>
  </w:style>
  <w:style w:type="character" w:styleId="Lienhypertexte">
    <w:name w:val="Hyperlink"/>
    <w:basedOn w:val="Policepardfaut"/>
    <w:uiPriority w:val="99"/>
    <w:unhideWhenUsed/>
    <w:rsid w:val="00E45F21"/>
    <w:rPr>
      <w:color w:val="0563C1" w:themeColor="hyperlink"/>
      <w:u w:val="single"/>
    </w:rPr>
  </w:style>
  <w:style w:type="character" w:styleId="Mentionnonrsolue">
    <w:name w:val="Unresolved Mention"/>
    <w:basedOn w:val="Policepardfaut"/>
    <w:uiPriority w:val="99"/>
    <w:semiHidden/>
    <w:unhideWhenUsed/>
    <w:rsid w:val="00E45F21"/>
    <w:rPr>
      <w:color w:val="605E5C"/>
      <w:shd w:val="clear" w:color="auto" w:fill="E1DFDD"/>
    </w:rPr>
  </w:style>
  <w:style w:type="character" w:styleId="Lienhypertextesuivivisit">
    <w:name w:val="FollowedHyperlink"/>
    <w:basedOn w:val="Policepardfaut"/>
    <w:uiPriority w:val="99"/>
    <w:semiHidden/>
    <w:unhideWhenUsed/>
    <w:rsid w:val="00E45F21"/>
    <w:rPr>
      <w:color w:val="954F72" w:themeColor="followedHyperlink"/>
      <w:u w:val="single"/>
    </w:rPr>
  </w:style>
  <w:style w:type="table" w:styleId="Grilledutableau">
    <w:name w:val="Table Grid"/>
    <w:basedOn w:val="TableauNormal"/>
    <w:uiPriority w:val="39"/>
    <w:rsid w:val="00BE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A6C10"/>
    <w:pPr>
      <w:outlineLvl w:val="9"/>
    </w:pPr>
    <w:rPr>
      <w:spacing w:val="0"/>
      <w:lang w:eastAsia="fr-FR"/>
    </w:rPr>
  </w:style>
  <w:style w:type="paragraph" w:styleId="TM1">
    <w:name w:val="toc 1"/>
    <w:basedOn w:val="Normal"/>
    <w:next w:val="Normal"/>
    <w:autoRedefine/>
    <w:uiPriority w:val="39"/>
    <w:unhideWhenUsed/>
    <w:rsid w:val="004A6C10"/>
    <w:pPr>
      <w:spacing w:after="100"/>
    </w:pPr>
  </w:style>
  <w:style w:type="paragraph" w:styleId="TM2">
    <w:name w:val="toc 2"/>
    <w:basedOn w:val="Normal"/>
    <w:next w:val="Normal"/>
    <w:autoRedefine/>
    <w:uiPriority w:val="39"/>
    <w:unhideWhenUsed/>
    <w:rsid w:val="004A6C10"/>
    <w:pPr>
      <w:spacing w:after="100"/>
      <w:ind w:left="220"/>
    </w:pPr>
  </w:style>
  <w:style w:type="paragraph" w:styleId="TM3">
    <w:name w:val="toc 3"/>
    <w:basedOn w:val="Normal"/>
    <w:next w:val="Normal"/>
    <w:autoRedefine/>
    <w:uiPriority w:val="39"/>
    <w:unhideWhenUsed/>
    <w:rsid w:val="004A6C10"/>
    <w:pPr>
      <w:spacing w:after="100"/>
      <w:ind w:left="440"/>
    </w:pPr>
  </w:style>
  <w:style w:type="character" w:styleId="Marquedecommentaire">
    <w:name w:val="annotation reference"/>
    <w:basedOn w:val="Policepardfaut"/>
    <w:uiPriority w:val="99"/>
    <w:semiHidden/>
    <w:unhideWhenUsed/>
    <w:rsid w:val="00506330"/>
    <w:rPr>
      <w:sz w:val="16"/>
      <w:szCs w:val="16"/>
    </w:rPr>
  </w:style>
  <w:style w:type="paragraph" w:styleId="Commentaire">
    <w:name w:val="annotation text"/>
    <w:basedOn w:val="Normal"/>
    <w:link w:val="CommentaireCar"/>
    <w:uiPriority w:val="99"/>
    <w:semiHidden/>
    <w:unhideWhenUsed/>
    <w:rsid w:val="00506330"/>
    <w:pPr>
      <w:spacing w:line="240" w:lineRule="auto"/>
    </w:pPr>
    <w:rPr>
      <w:sz w:val="20"/>
      <w:szCs w:val="20"/>
    </w:rPr>
  </w:style>
  <w:style w:type="character" w:customStyle="1" w:styleId="CommentaireCar">
    <w:name w:val="Commentaire Car"/>
    <w:basedOn w:val="Policepardfaut"/>
    <w:link w:val="Commentaire"/>
    <w:uiPriority w:val="99"/>
    <w:semiHidden/>
    <w:rsid w:val="00506330"/>
    <w:rPr>
      <w:sz w:val="20"/>
      <w:szCs w:val="20"/>
    </w:rPr>
  </w:style>
  <w:style w:type="paragraph" w:styleId="Objetducommentaire">
    <w:name w:val="annotation subject"/>
    <w:basedOn w:val="Commentaire"/>
    <w:next w:val="Commentaire"/>
    <w:link w:val="ObjetducommentaireCar"/>
    <w:uiPriority w:val="99"/>
    <w:semiHidden/>
    <w:unhideWhenUsed/>
    <w:rsid w:val="00506330"/>
    <w:rPr>
      <w:b/>
      <w:bCs/>
    </w:rPr>
  </w:style>
  <w:style w:type="character" w:customStyle="1" w:styleId="ObjetducommentaireCar">
    <w:name w:val="Objet du commentaire Car"/>
    <w:basedOn w:val="CommentaireCar"/>
    <w:link w:val="Objetducommentaire"/>
    <w:uiPriority w:val="99"/>
    <w:semiHidden/>
    <w:rsid w:val="00506330"/>
    <w:rPr>
      <w:b/>
      <w:bCs/>
      <w:sz w:val="20"/>
      <w:szCs w:val="20"/>
    </w:rPr>
  </w:style>
  <w:style w:type="paragraph" w:styleId="Textedebulles">
    <w:name w:val="Balloon Text"/>
    <w:basedOn w:val="Normal"/>
    <w:link w:val="TextedebullesCar"/>
    <w:uiPriority w:val="99"/>
    <w:semiHidden/>
    <w:unhideWhenUsed/>
    <w:rsid w:val="005063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6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do.orne.fr/" TargetMode="External"/><Relationship Id="rId4" Type="http://schemas.openxmlformats.org/officeDocument/2006/relationships/settings" Target="settings.xml"/><Relationship Id="rId9" Type="http://schemas.openxmlformats.org/officeDocument/2006/relationships/hyperlink" Target="https://accessibilite.numeriqu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6CF3-16A1-42B2-9E19-EBA65547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Pages>
  <Words>1526</Words>
  <Characters>8396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Schéma pluriannuel d'accessibilité</vt:lpstr>
    </vt:vector>
  </TitlesOfParts>
  <Company>CD61</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Schéma pluriannuel d'accessibilité</dc:title>
  <dc:subject/>
  <dc:creator>MICHEL sabine</dc:creator>
  <cp:keywords/>
  <dc:description/>
  <cp:lastModifiedBy>MICHEL sabine</cp:lastModifiedBy>
  <cp:revision>33</cp:revision>
  <cp:lastPrinted>2025-04-09T12:22:00Z</cp:lastPrinted>
  <dcterms:created xsi:type="dcterms:W3CDTF">2025-03-19T11:06:00Z</dcterms:created>
  <dcterms:modified xsi:type="dcterms:W3CDTF">2025-04-09T12:22:00Z</dcterms:modified>
</cp:coreProperties>
</file>